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16068">
      <w:pPr>
        <w:pStyle w:val="5"/>
        <w:pageBreakBefore w:val="0"/>
        <w:widowControl w:val="0"/>
        <w:kinsoku/>
        <w:wordWrap/>
        <w:overflowPunct/>
        <w:topLinePunct w:val="0"/>
        <w:autoSpaceDE/>
        <w:autoSpaceDN/>
        <w:bidi w:val="0"/>
        <w:adjustRightInd/>
        <w:snapToGrid/>
        <w:spacing w:before="120" w:after="0" w:line="480" w:lineRule="auto"/>
        <w:jc w:val="center"/>
        <w:textAlignment w:val="auto"/>
        <w:rPr>
          <w:rFonts w:hint="eastAsia" w:ascii="宋体" w:hAnsi="宋体" w:cs="宋体"/>
          <w:color w:val="auto"/>
          <w:highlight w:val="none"/>
        </w:rPr>
      </w:pPr>
      <w:r>
        <w:rPr>
          <w:rFonts w:hint="eastAsia" w:ascii="宋体" w:hAnsi="宋体" w:cs="宋体"/>
          <w:color w:val="auto"/>
          <w:sz w:val="36"/>
          <w:highlight w:val="none"/>
          <w:lang w:eastAsia="zh-CN"/>
        </w:rPr>
        <w:t>智慧通讯录项目</w:t>
      </w:r>
      <w:r>
        <w:rPr>
          <w:rFonts w:hint="eastAsia" w:ascii="宋体" w:hAnsi="宋体" w:cs="宋体"/>
          <w:color w:val="auto"/>
          <w:sz w:val="36"/>
          <w:highlight w:val="none"/>
        </w:rPr>
        <w:t>招标公告</w:t>
      </w:r>
    </w:p>
    <w:p w14:paraId="71E6CC12">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一、招标条件</w:t>
      </w:r>
    </w:p>
    <w:p w14:paraId="6E725BE3">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智慧通讯录项目</w:t>
      </w:r>
      <w:r>
        <w:rPr>
          <w:rFonts w:hint="eastAsia" w:ascii="宋体" w:hAnsi="宋体" w:eastAsia="宋体" w:cs="宋体"/>
          <w:color w:val="auto"/>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0631CC2A">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二、项目概况</w:t>
      </w:r>
    </w:p>
    <w:p w14:paraId="6DC208B3">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智慧通讯录项目</w:t>
      </w:r>
      <w:r>
        <w:rPr>
          <w:rFonts w:hint="eastAsia" w:ascii="宋体" w:hAnsi="宋体" w:eastAsia="宋体" w:cs="宋体"/>
          <w:color w:val="auto"/>
          <w:sz w:val="21"/>
          <w:szCs w:val="21"/>
          <w:highlight w:val="none"/>
        </w:rPr>
        <w:t>。</w:t>
      </w:r>
    </w:p>
    <w:p w14:paraId="31AB3FCB">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2、建设单位：</w:t>
      </w:r>
      <w:r>
        <w:rPr>
          <w:rFonts w:hint="eastAsia" w:ascii="宋体" w:hAnsi="宋体" w:eastAsia="宋体" w:cs="宋体"/>
          <w:color w:val="auto"/>
          <w:sz w:val="21"/>
          <w:szCs w:val="21"/>
          <w:highlight w:val="none"/>
          <w:lang w:eastAsia="zh-CN"/>
        </w:rPr>
        <w:t>盐城华数信息服务有限公司</w:t>
      </w:r>
      <w:r>
        <w:rPr>
          <w:rFonts w:hint="eastAsia" w:ascii="宋体" w:hAnsi="宋体" w:eastAsia="宋体" w:cs="宋体"/>
          <w:color w:val="auto"/>
          <w:sz w:val="21"/>
          <w:szCs w:val="21"/>
          <w:highlight w:val="none"/>
        </w:rPr>
        <w:t>。</w:t>
      </w:r>
    </w:p>
    <w:p w14:paraId="036BF5F8">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项目概况:随着信息化技术的不断发展和</w:t>
      </w:r>
      <w:r>
        <w:rPr>
          <w:rFonts w:hint="eastAsia" w:ascii="宋体" w:hAnsi="宋体" w:eastAsia="宋体" w:cs="宋体"/>
          <w:color w:val="auto"/>
          <w:sz w:val="21"/>
          <w:szCs w:val="21"/>
          <w:highlight w:val="none"/>
          <w:lang w:val="en-US" w:eastAsia="zh-CN"/>
        </w:rPr>
        <w:t>日常</w:t>
      </w:r>
      <w:r>
        <w:rPr>
          <w:rFonts w:hint="eastAsia" w:ascii="宋体" w:hAnsi="宋体" w:eastAsia="宋体" w:cs="宋体"/>
          <w:color w:val="auto"/>
          <w:sz w:val="21"/>
          <w:szCs w:val="21"/>
          <w:highlight w:val="none"/>
          <w:lang w:eastAsia="zh-CN"/>
        </w:rPr>
        <w:t>工作的高效化需求，传统的纸质通讯录或简单的电子通讯录已无法满足现</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eastAsia="zh-CN"/>
        </w:rPr>
        <w:t>工作的需求。为了提高</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lang w:eastAsia="zh-CN"/>
        </w:rPr>
        <w:t>内部沟通效率，确保信息准确性和安全性，特提出开发</w:t>
      </w: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lang w:eastAsia="zh-CN"/>
        </w:rPr>
        <w:t>通讯录项目的需求。该项目旨在构建一个集人员信息管理、组织架构展示、权限控制等功能于一体的综合性</w:t>
      </w: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lang w:eastAsia="zh-CN"/>
        </w:rPr>
        <w:t>通讯录系统。</w:t>
      </w:r>
    </w:p>
    <w:p w14:paraId="147744D7">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4、项目规模：</w:t>
      </w:r>
      <w:r>
        <w:rPr>
          <w:rFonts w:hint="eastAsia" w:ascii="宋体" w:hAnsi="宋体" w:eastAsia="宋体" w:cs="宋体"/>
          <w:color w:val="auto"/>
          <w:sz w:val="21"/>
          <w:szCs w:val="21"/>
          <w:highlight w:val="none"/>
        </w:rPr>
        <w:t>预算约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rPr>
        <w:t>。</w:t>
      </w:r>
    </w:p>
    <w:p w14:paraId="3403B6A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5、质量要求：合格标准，满足招标人使用需求。</w:t>
      </w:r>
    </w:p>
    <w:p w14:paraId="3E04702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6、工期：</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0日历天。</w:t>
      </w:r>
    </w:p>
    <w:p w14:paraId="6D0F7145">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olor w:val="auto"/>
          <w:sz w:val="21"/>
          <w:szCs w:val="21"/>
          <w:highlight w:val="none"/>
        </w:rPr>
        <w:t>服务范围</w:t>
      </w:r>
      <w:r>
        <w:rPr>
          <w:rFonts w:hint="eastAsia" w:ascii="宋体" w:hAnsi="宋体" w:eastAsia="宋体"/>
          <w:color w:val="auto"/>
          <w:sz w:val="21"/>
          <w:szCs w:val="21"/>
          <w:highlight w:val="none"/>
          <w:lang w:val="en-US" w:eastAsia="zh-CN"/>
        </w:rPr>
        <w:t>及内容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详见工程量清单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招标人保留对招标范围内工程量适当调整的权利。</w:t>
      </w:r>
    </w:p>
    <w:p w14:paraId="3830A93A">
      <w:pPr>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三、投标人应当具备的主要资格条件</w:t>
      </w:r>
    </w:p>
    <w:p w14:paraId="684D7009">
      <w:pPr>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1、投标人资质类别和等级：投标人</w:t>
      </w:r>
      <w:r>
        <w:rPr>
          <w:rFonts w:hint="eastAsia" w:ascii="宋体" w:hAnsi="宋体" w:eastAsia="宋体" w:cs="宋体"/>
          <w:color w:val="auto"/>
          <w:sz w:val="21"/>
          <w:szCs w:val="21"/>
          <w:highlight w:val="none"/>
          <w:lang w:val="en-US" w:eastAsia="zh-CN"/>
        </w:rPr>
        <w:t>必须是在中国境内注册，具有独立完成本次招标项目全部工作内容能力的独立法人或其他组织</w:t>
      </w:r>
      <w:r>
        <w:rPr>
          <w:rFonts w:hint="eastAsia" w:ascii="宋体" w:hAnsi="宋体" w:eastAsia="宋体" w:cs="宋体"/>
          <w:color w:val="auto"/>
          <w:sz w:val="21"/>
          <w:szCs w:val="21"/>
          <w:highlight w:val="none"/>
        </w:rPr>
        <w:t>。</w:t>
      </w:r>
    </w:p>
    <w:p w14:paraId="79F30374">
      <w:pPr>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2、本次招标不接受联合体投标。</w:t>
      </w:r>
    </w:p>
    <w:p w14:paraId="60460C11">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3、其他要求：</w:t>
      </w:r>
    </w:p>
    <w:p w14:paraId="2F82B124">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3.1财务要求：投标人应具有独立订立合同的能力，未处于财产被接管、</w:t>
      </w:r>
      <w:r>
        <w:rPr>
          <w:rFonts w:hint="eastAsia" w:ascii="宋体" w:hAnsi="宋体" w:eastAsia="宋体" w:cs="宋体"/>
          <w:color w:val="auto"/>
          <w:sz w:val="21"/>
          <w:szCs w:val="21"/>
          <w:highlight w:val="none"/>
        </w:rPr>
        <w:t>冻结和破产状态。</w:t>
      </w:r>
    </w:p>
    <w:p w14:paraId="355C3FA5">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3.2业绩要求：无。       </w:t>
      </w:r>
    </w:p>
    <w:p w14:paraId="0F5CC4C2">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3.3信誉要求：投标人不得存在下列情形：</w:t>
      </w:r>
    </w:p>
    <w:p w14:paraId="49A96C37">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3.3.1被国家、江苏本省省级有关部门及盐城本市市级、盐南高新区有关部门暂停招投标或市场准入资格且在公示处罚期内的。</w:t>
      </w:r>
    </w:p>
    <w:p w14:paraId="6007B02D">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3.3.2近3年内有行贿犯罪行为且被记录，或者法定代表人、项目负责人有行贿犯罪记录且自记录之日起未超过5年的。（均自记录之日起至投标截止日止）</w:t>
      </w:r>
    </w:p>
    <w:p w14:paraId="3F101461">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3.3.3被人民法院列为失信被执行人的信息正在被“信用中国”、“信用江苏”网站公布的，投标截止时间前失信被执行人信息已撤销或更正的除外。 </w:t>
      </w:r>
    </w:p>
    <w:p w14:paraId="4508BC3C">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3.3.4投标人作为失信联合惩戒对象被采取依法限制参与建设工程招投标惩戒措施的，且被有关部门推送在“信用中国”、“信用江苏”、“信用盐城”相关网站公示且在有效期内的。</w:t>
      </w:r>
    </w:p>
    <w:p w14:paraId="036BACCE">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w:t>
      </w:r>
      <w:bookmarkStart w:id="0" w:name="_GoBack"/>
      <w:bookmarkEnd w:id="0"/>
      <w:r>
        <w:rPr>
          <w:rFonts w:hint="eastAsia" w:ascii="宋体" w:hAnsi="宋体" w:eastAsia="宋体" w:cs="宋体"/>
          <w:color w:val="auto"/>
          <w:sz w:val="21"/>
          <w:szCs w:val="21"/>
          <w:highlight w:val="none"/>
        </w:rPr>
        <w:t>变已经作出的决定。</w:t>
      </w:r>
    </w:p>
    <w:p w14:paraId="743C9D8B">
      <w:pPr>
        <w:pageBreakBefore w:val="0"/>
        <w:widowControl w:val="0"/>
        <w:kinsoku/>
        <w:wordWrap/>
        <w:overflowPunct/>
        <w:topLinePunct w:val="0"/>
        <w:autoSpaceDE/>
        <w:autoSpaceDN/>
        <w:bidi w:val="0"/>
        <w:adjustRightInd/>
        <w:snapToGrid/>
        <w:spacing w:line="440" w:lineRule="exact"/>
        <w:ind w:firstLine="480"/>
        <w:textAlignment w:val="auto"/>
        <w:rPr>
          <w:rFonts w:hint="eastAsia" w:ascii="Calibri" w:hAnsi="Calibri" w:eastAsia="宋体"/>
          <w:color w:val="auto"/>
          <w:sz w:val="21"/>
          <w:szCs w:val="24"/>
          <w:highlight w:val="none"/>
        </w:rPr>
      </w:pPr>
      <w:r>
        <w:rPr>
          <w:rFonts w:hint="eastAsia" w:ascii="Calibri" w:hAnsi="Calibri" w:eastAsia="宋体"/>
          <w:color w:val="auto"/>
          <w:sz w:val="21"/>
          <w:szCs w:val="24"/>
          <w:highlight w:val="none"/>
        </w:rPr>
        <w:t>3.4.</w:t>
      </w:r>
      <w:r>
        <w:rPr>
          <w:rFonts w:hint="eastAsia" w:ascii="Calibri" w:hAnsi="Calibri" w:eastAsia="宋体"/>
          <w:color w:val="auto"/>
          <w:sz w:val="21"/>
          <w:szCs w:val="24"/>
          <w:highlight w:val="none"/>
          <w:lang w:val="en-US" w:eastAsia="zh-CN"/>
        </w:rPr>
        <w:t>投</w:t>
      </w:r>
      <w:r>
        <w:rPr>
          <w:rFonts w:hint="eastAsia" w:ascii="Calibri" w:hAnsi="Calibri" w:eastAsia="宋体"/>
          <w:color w:val="auto"/>
          <w:sz w:val="21"/>
          <w:szCs w:val="24"/>
          <w:highlight w:val="none"/>
        </w:rPr>
        <w:t>标申请人授权委托人及投标承诺的项目部人员均为本单位的正式职工，投标时提</w:t>
      </w:r>
      <w:r>
        <w:rPr>
          <w:rFonts w:hint="eastAsia" w:ascii="Calibri" w:hAnsi="Calibri" w:eastAsia="宋体"/>
          <w:color w:val="auto"/>
          <w:sz w:val="21"/>
          <w:szCs w:val="24"/>
          <w:highlight w:val="none"/>
        </w:rPr>
        <w:t>供项目负责人</w:t>
      </w:r>
      <w:r>
        <w:rPr>
          <w:rFonts w:hint="eastAsia" w:ascii="Calibri" w:hAnsi="Calibri" w:eastAsia="宋体"/>
          <w:color w:val="auto"/>
          <w:sz w:val="21"/>
          <w:szCs w:val="24"/>
          <w:highlight w:val="none"/>
          <w:lang w:val="en-US" w:eastAsia="zh-CN"/>
        </w:rPr>
        <w:t>和授权委托人</w:t>
      </w:r>
      <w:r>
        <w:rPr>
          <w:rFonts w:hint="eastAsia" w:ascii="Calibri" w:hAnsi="Calibri" w:eastAsia="宋体"/>
          <w:color w:val="auto"/>
          <w:sz w:val="21"/>
          <w:szCs w:val="24"/>
          <w:highlight w:val="none"/>
        </w:rPr>
        <w:t>从2024年</w:t>
      </w:r>
      <w:r>
        <w:rPr>
          <w:rFonts w:hint="eastAsia" w:ascii="Calibri" w:hAnsi="Calibri" w:eastAsia="宋体"/>
          <w:color w:val="auto"/>
          <w:sz w:val="21"/>
          <w:szCs w:val="24"/>
          <w:highlight w:val="none"/>
          <w:lang w:val="en-US" w:eastAsia="zh-CN"/>
        </w:rPr>
        <w:t>10</w:t>
      </w:r>
      <w:r>
        <w:rPr>
          <w:rFonts w:hint="eastAsia" w:ascii="Calibri" w:hAnsi="Calibri" w:eastAsia="宋体"/>
          <w:color w:val="auto"/>
          <w:sz w:val="21"/>
          <w:szCs w:val="24"/>
          <w:highlight w:val="none"/>
        </w:rPr>
        <w:t>月开始至投标截止之日当月至少1个月在本单位缴纳养老保险缴费记录证明。（退休</w:t>
      </w:r>
      <w:r>
        <w:rPr>
          <w:rFonts w:hint="eastAsia" w:ascii="Calibri" w:hAnsi="Calibri" w:eastAsia="宋体"/>
          <w:color w:val="auto"/>
          <w:sz w:val="21"/>
          <w:szCs w:val="24"/>
          <w:highlight w:val="none"/>
        </w:rPr>
        <w:t>人员提供在本单位相关证明。）</w:t>
      </w:r>
    </w:p>
    <w:p w14:paraId="0D18C06F">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四、招标文件的领取与递交</w:t>
      </w:r>
    </w:p>
    <w:p w14:paraId="339C62DA">
      <w:pPr>
        <w:pageBreakBefore w:val="0"/>
        <w:widowControl w:val="0"/>
        <w:kinsoku/>
        <w:wordWrap/>
        <w:overflowPunct/>
        <w:topLinePunct w:val="0"/>
        <w:autoSpaceDE/>
        <w:autoSpaceDN/>
        <w:bidi w:val="0"/>
        <w:adjustRightInd/>
        <w:snapToGrid/>
        <w:spacing w:line="440" w:lineRule="exact"/>
        <w:ind w:firstLine="480"/>
        <w:textAlignment w:val="auto"/>
        <w:rPr>
          <w:rFonts w:ascii="Calibri" w:hAnsi="Calibri" w:eastAsia="宋体"/>
          <w:color w:val="auto"/>
          <w:sz w:val="21"/>
          <w:szCs w:val="24"/>
          <w:highlight w:val="none"/>
        </w:rPr>
      </w:pPr>
      <w:r>
        <w:rPr>
          <w:rFonts w:hint="eastAsia" w:ascii="Calibri" w:hAnsi="Calibri" w:eastAsia="宋体"/>
          <w:color w:val="auto"/>
          <w:sz w:val="21"/>
          <w:szCs w:val="24"/>
          <w:highlight w:val="none"/>
        </w:rPr>
        <w:t>1、本招标公告发布后凡具备上述主要资格条件，并自愿参加本项目投标的申请人</w:t>
      </w:r>
      <w:r>
        <w:rPr>
          <w:rFonts w:hint="eastAsia" w:ascii="Calibri" w:hAnsi="Calibri" w:eastAsia="宋体"/>
          <w:color w:val="auto"/>
          <w:sz w:val="21"/>
          <w:szCs w:val="24"/>
          <w:highlight w:val="none"/>
        </w:rPr>
        <w:t>于</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u w:val="single"/>
          <w:lang w:val="en-US" w:eastAsia="zh-CN"/>
        </w:rPr>
        <w:t>2</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 xml:space="preserve">6 </w:t>
      </w:r>
      <w:r>
        <w:rPr>
          <w:rFonts w:hint="eastAsia" w:ascii="Calibri" w:hAnsi="Calibri" w:eastAsia="宋体"/>
          <w:b/>
          <w:bCs/>
          <w:color w:val="auto"/>
          <w:sz w:val="21"/>
          <w:szCs w:val="24"/>
          <w:highlight w:val="none"/>
        </w:rPr>
        <w:t>日至202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lang w:val="en-US" w:eastAsia="zh-CN"/>
        </w:rPr>
        <w:t>2</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lang w:val="en-US" w:eastAsia="zh-CN"/>
        </w:rPr>
        <w:t xml:space="preserve"> 12</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日18时</w:t>
      </w:r>
      <w:r>
        <w:rPr>
          <w:rFonts w:hint="eastAsia" w:ascii="Calibri" w:hAnsi="Calibri" w:eastAsia="宋体"/>
          <w:color w:val="auto"/>
          <w:sz w:val="21"/>
          <w:szCs w:val="24"/>
          <w:highlight w:val="none"/>
        </w:rPr>
        <w:t>前</w:t>
      </w:r>
      <w:r>
        <w:rPr>
          <w:rFonts w:hint="eastAsia" w:ascii="Calibri" w:hAnsi="Calibri" w:eastAsia="宋体"/>
          <w:color w:val="auto"/>
          <w:sz w:val="21"/>
          <w:szCs w:val="24"/>
          <w:highlight w:val="none"/>
        </w:rPr>
        <w:t>，携带单位介绍信或授权委托书至江苏仁禾中衡工程咨询房地产估价有限公司（盐城市人民南路国际创投中心南四楼3A06室）报名</w:t>
      </w:r>
      <w:r>
        <w:rPr>
          <w:rFonts w:hint="eastAsia" w:ascii="Calibri" w:hAnsi="Calibri" w:eastAsia="宋体"/>
          <w:color w:val="auto"/>
          <w:sz w:val="21"/>
          <w:szCs w:val="24"/>
          <w:highlight w:val="none"/>
          <w:lang w:val="en-US" w:eastAsia="zh-CN"/>
        </w:rPr>
        <w:t>获取</w:t>
      </w:r>
      <w:r>
        <w:rPr>
          <w:rFonts w:hint="eastAsia" w:ascii="Calibri" w:hAnsi="Calibri" w:eastAsia="宋体"/>
          <w:color w:val="auto"/>
          <w:sz w:val="21"/>
          <w:szCs w:val="24"/>
          <w:highlight w:val="none"/>
        </w:rPr>
        <w:t>招标文件。</w:t>
      </w:r>
    </w:p>
    <w:p w14:paraId="4280E0FE">
      <w:pPr>
        <w:pageBreakBefore w:val="0"/>
        <w:widowControl w:val="0"/>
        <w:kinsoku/>
        <w:wordWrap/>
        <w:overflowPunct/>
        <w:topLinePunct w:val="0"/>
        <w:autoSpaceDE/>
        <w:autoSpaceDN/>
        <w:bidi w:val="0"/>
        <w:adjustRightInd/>
        <w:snapToGrid/>
        <w:spacing w:line="440" w:lineRule="exact"/>
        <w:ind w:firstLine="480"/>
        <w:textAlignment w:val="auto"/>
        <w:rPr>
          <w:rFonts w:hint="eastAsia" w:ascii="Calibri" w:hAnsi="Calibri" w:eastAsia="宋体"/>
          <w:color w:val="auto"/>
          <w:sz w:val="21"/>
          <w:szCs w:val="24"/>
          <w:highlight w:val="none"/>
        </w:rPr>
      </w:pPr>
      <w:r>
        <w:rPr>
          <w:rFonts w:hint="eastAsia" w:ascii="Calibri" w:hAnsi="Calibri" w:eastAsia="宋体"/>
          <w:color w:val="auto"/>
          <w:sz w:val="21"/>
          <w:szCs w:val="24"/>
          <w:highlight w:val="none"/>
        </w:rPr>
        <w:t>2、投标文件的递交截止时间（开标时间）：</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lang w:val="en-US" w:eastAsia="zh-CN"/>
        </w:rPr>
        <w:t>2</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lang w:val="en-US" w:eastAsia="zh-CN"/>
        </w:rPr>
        <w:t>17</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 xml:space="preserve">9 </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：00时</w:t>
      </w:r>
      <w:r>
        <w:rPr>
          <w:rFonts w:hint="eastAsia" w:ascii="Calibri" w:hAnsi="Calibri" w:eastAsia="宋体"/>
          <w:color w:val="auto"/>
          <w:sz w:val="21"/>
          <w:szCs w:val="24"/>
          <w:highlight w:val="none"/>
        </w:rPr>
        <w:t>。</w:t>
      </w:r>
    </w:p>
    <w:p w14:paraId="3E19A438">
      <w:pPr>
        <w:pageBreakBefore w:val="0"/>
        <w:widowControl w:val="0"/>
        <w:kinsoku/>
        <w:wordWrap/>
        <w:overflowPunct/>
        <w:topLinePunct w:val="0"/>
        <w:autoSpaceDE/>
        <w:autoSpaceDN/>
        <w:bidi w:val="0"/>
        <w:adjustRightInd/>
        <w:snapToGrid/>
        <w:spacing w:line="440" w:lineRule="exact"/>
        <w:ind w:firstLine="480"/>
        <w:textAlignment w:val="auto"/>
        <w:rPr>
          <w:rFonts w:ascii="Calibri" w:hAnsi="Calibri" w:eastAsia="宋体"/>
          <w:color w:val="auto"/>
          <w:sz w:val="21"/>
          <w:szCs w:val="24"/>
          <w:highlight w:val="none"/>
        </w:rPr>
      </w:pPr>
      <w:r>
        <w:rPr>
          <w:rFonts w:hint="eastAsia" w:ascii="Calibri" w:hAnsi="Calibri" w:eastAsia="宋体"/>
          <w:color w:val="auto"/>
          <w:sz w:val="21"/>
          <w:szCs w:val="24"/>
          <w:highlight w:val="none"/>
        </w:rPr>
        <w:t>3、投标文件的递交地点（开标地点）：学海路科创大厦南楼1</w:t>
      </w:r>
      <w:r>
        <w:rPr>
          <w:rFonts w:hint="eastAsia" w:ascii="Calibri" w:hAnsi="Calibri" w:eastAsia="宋体"/>
          <w:color w:val="auto"/>
          <w:sz w:val="21"/>
          <w:szCs w:val="24"/>
          <w:highlight w:val="none"/>
          <w:lang w:val="en-US" w:eastAsia="zh-CN"/>
        </w:rPr>
        <w:t>1</w:t>
      </w:r>
      <w:r>
        <w:rPr>
          <w:rFonts w:hint="eastAsia" w:ascii="Calibri" w:hAnsi="Calibri" w:eastAsia="宋体"/>
          <w:color w:val="auto"/>
          <w:sz w:val="21"/>
          <w:szCs w:val="24"/>
          <w:highlight w:val="none"/>
        </w:rPr>
        <w:t>楼</w:t>
      </w:r>
      <w:r>
        <w:rPr>
          <w:rFonts w:hint="eastAsia" w:ascii="Calibri" w:hAnsi="Calibri" w:eastAsia="宋体"/>
          <w:color w:val="auto"/>
          <w:sz w:val="21"/>
          <w:szCs w:val="24"/>
          <w:highlight w:val="none"/>
          <w:lang w:val="en-US" w:eastAsia="zh-CN"/>
        </w:rPr>
        <w:t>开</w:t>
      </w:r>
      <w:r>
        <w:rPr>
          <w:rFonts w:hint="eastAsia" w:ascii="Calibri" w:hAnsi="Calibri" w:eastAsia="宋体"/>
          <w:color w:val="auto"/>
          <w:sz w:val="21"/>
          <w:szCs w:val="24"/>
          <w:highlight w:val="none"/>
        </w:rPr>
        <w:t>标室。</w:t>
      </w:r>
    </w:p>
    <w:p w14:paraId="1DD96B8D">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五、投标保证金的缴纳与退还</w:t>
      </w:r>
    </w:p>
    <w:p w14:paraId="134715CE">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5.1投标人在递交投标文件的同时，应按规定的金额、形式递交投标保证金，并作为其投标文件的组成部分。联合体投标的，其投标保证金有牵头人递交，并应符合有关规定。</w:t>
      </w:r>
    </w:p>
    <w:p w14:paraId="62C1E92D">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5.2本项目投标保证金数额：</w:t>
      </w:r>
      <w:r>
        <w:rPr>
          <w:rFonts w:hint="eastAsia" w:ascii="宋体" w:hAnsi="宋体" w:eastAsia="宋体" w:cs="宋体"/>
          <w:b/>
          <w:bCs/>
          <w:color w:val="auto"/>
          <w:sz w:val="21"/>
          <w:szCs w:val="21"/>
          <w:highlight w:val="none"/>
          <w:u w:val="single"/>
        </w:rPr>
        <w:t>伍仟元</w:t>
      </w:r>
      <w:r>
        <w:rPr>
          <w:rFonts w:hint="eastAsia" w:ascii="宋体" w:hAnsi="宋体" w:eastAsia="宋体" w:cs="宋体"/>
          <w:color w:val="auto"/>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5CAFCD50">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5.2.1投标保证金可采用现金、电子保函（保单）形式，投标人根据企业实际情况合理选择投标保证金的缴纳形式，不同缴纳形式具有同等法律效力。具体缴纳方式为：</w:t>
      </w:r>
    </w:p>
    <w:p w14:paraId="44BA41EB">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5.2.1.1</w:t>
      </w:r>
      <w:r>
        <w:rPr>
          <w:rFonts w:hint="eastAsia" w:ascii="宋体" w:hAnsi="宋体" w:eastAsia="宋体" w:cs="宋体"/>
          <w:b/>
          <w:color w:val="auto"/>
          <w:sz w:val="21"/>
          <w:szCs w:val="21"/>
          <w:highlight w:val="none"/>
        </w:rPr>
        <w:t>现</w:t>
      </w:r>
      <w:r>
        <w:rPr>
          <w:rFonts w:hint="eastAsia" w:ascii="宋体" w:hAnsi="宋体" w:eastAsia="宋体" w:cs="宋体"/>
          <w:b/>
          <w:color w:val="auto"/>
          <w:kern w:val="0"/>
          <w:sz w:val="21"/>
          <w:szCs w:val="21"/>
          <w:highlight w:val="none"/>
        </w:rPr>
        <w:t>金缴纳方式</w:t>
      </w:r>
      <w:r>
        <w:rPr>
          <w:rFonts w:hint="eastAsia" w:ascii="宋体" w:hAnsi="宋体" w:eastAsia="宋体" w:cs="宋体"/>
          <w:color w:val="auto"/>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w:t>
      </w:r>
      <w:r>
        <w:rPr>
          <w:rFonts w:hint="eastAsia" w:ascii="宋体" w:hAnsi="宋体" w:eastAsia="宋体" w:cs="宋体"/>
          <w:color w:val="auto"/>
          <w:kern w:val="0"/>
          <w:sz w:val="21"/>
          <w:szCs w:val="21"/>
          <w:highlight w:val="none"/>
        </w:rPr>
        <w:t>收款人名称：</w:t>
      </w:r>
      <w:r>
        <w:rPr>
          <w:rFonts w:hint="eastAsia" w:ascii="宋体" w:hAnsi="宋体" w:eastAsia="宋体" w:cs="宋体"/>
          <w:color w:val="auto"/>
          <w:kern w:val="0"/>
          <w:sz w:val="21"/>
          <w:szCs w:val="21"/>
          <w:highlight w:val="none"/>
          <w:lang w:eastAsia="zh-CN"/>
        </w:rPr>
        <w:t>盐城华数信息服务有限公司</w:t>
      </w:r>
      <w:r>
        <w:rPr>
          <w:rFonts w:hint="eastAsia" w:ascii="宋体" w:hAnsi="宋体" w:eastAsia="宋体" w:cs="宋体"/>
          <w:color w:val="auto"/>
          <w:kern w:val="0"/>
          <w:sz w:val="21"/>
          <w:szCs w:val="21"/>
          <w:highlight w:val="none"/>
        </w:rPr>
        <w:t>，开户行：</w:t>
      </w:r>
      <w:r>
        <w:rPr>
          <w:rFonts w:hint="eastAsia" w:ascii="宋体" w:hAnsi="宋体" w:eastAsia="宋体" w:cs="宋体"/>
          <w:color w:val="auto"/>
          <w:kern w:val="0"/>
          <w:sz w:val="21"/>
          <w:szCs w:val="21"/>
          <w:highlight w:val="none"/>
          <w:u w:val="single"/>
          <w:lang w:val="en-US" w:eastAsia="zh-CN"/>
        </w:rPr>
        <w:t>建行城南支行</w:t>
      </w:r>
      <w:r>
        <w:rPr>
          <w:rFonts w:hint="eastAsia" w:ascii="宋体" w:hAnsi="宋体" w:eastAsia="宋体" w:cs="宋体"/>
          <w:color w:val="auto"/>
          <w:kern w:val="0"/>
          <w:sz w:val="21"/>
          <w:szCs w:val="21"/>
          <w:highlight w:val="none"/>
        </w:rPr>
        <w:t>，开户行账号：</w:t>
      </w:r>
      <w:r>
        <w:rPr>
          <w:rFonts w:hint="eastAsia" w:ascii="宋体" w:hAnsi="宋体" w:eastAsia="宋体" w:cs="宋体"/>
          <w:color w:val="auto"/>
          <w:kern w:val="0"/>
          <w:sz w:val="21"/>
          <w:szCs w:val="21"/>
          <w:highlight w:val="none"/>
          <w:u w:val="single"/>
          <w:lang w:val="en-US" w:eastAsia="zh-CN"/>
        </w:rPr>
        <w:t>32050173503800000004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2709125A">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5.2.1.2</w:t>
      </w:r>
      <w:r>
        <w:rPr>
          <w:rFonts w:hint="eastAsia" w:ascii="宋体" w:hAnsi="宋体" w:eastAsia="宋体" w:cs="宋体"/>
          <w:b/>
          <w:color w:val="auto"/>
          <w:kern w:val="0"/>
          <w:sz w:val="21"/>
          <w:szCs w:val="21"/>
          <w:highlight w:val="none"/>
        </w:rPr>
        <w:t>采用银行保函缴纳</w:t>
      </w:r>
      <w:r>
        <w:rPr>
          <w:rFonts w:hint="eastAsia" w:ascii="宋体" w:hAnsi="宋体" w:eastAsia="宋体" w:cs="宋体"/>
          <w:color w:val="auto"/>
          <w:kern w:val="0"/>
          <w:sz w:val="21"/>
          <w:szCs w:val="21"/>
          <w:highlight w:val="none"/>
        </w:rPr>
        <w:t>：投标人须在投标截止时间前将投标人基本账户开户行出具的银行保函原件带至开标现场交工作人员核验。</w:t>
      </w:r>
    </w:p>
    <w:p w14:paraId="478C04CB">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5.2.1.3</w:t>
      </w:r>
      <w:r>
        <w:rPr>
          <w:rFonts w:hint="eastAsia" w:ascii="宋体" w:hAnsi="宋体" w:eastAsia="宋体" w:cs="宋体"/>
          <w:b/>
          <w:color w:val="auto"/>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color w:val="auto"/>
          <w:sz w:val="21"/>
          <w:szCs w:val="21"/>
          <w:highlight w:val="none"/>
        </w:rPr>
        <w:t>，投标时需提供经市发展改革委（市信用办）备案的第三方信用报告原件彩色扫描件，且信用报告概述页等内容通过“信用盐城网”可查证。</w:t>
      </w:r>
    </w:p>
    <w:p w14:paraId="4F39F3A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5.2.1.4</w:t>
      </w:r>
      <w:r>
        <w:rPr>
          <w:rFonts w:ascii="宋体" w:hAnsi="宋体" w:eastAsia="宋体" w:cs="宋体"/>
          <w:b/>
          <w:color w:val="auto"/>
          <w:sz w:val="21"/>
          <w:szCs w:val="21"/>
          <w:highlight w:val="none"/>
        </w:rPr>
        <w:t>信用承诺替代投标保证金</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0C492D2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699CBC0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E5831AB">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采用信用承诺替代投标保证金的，不免除投标人违法、违规、违约责任的义务。 </w:t>
      </w:r>
    </w:p>
    <w:p w14:paraId="18CFED0B">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未按上述要求交纳投标保证金的，经评标委员会认定后，其投标文件为无效投标文件。</w:t>
      </w:r>
    </w:p>
    <w:p w14:paraId="2D048483">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5.3投标保证金的退还</w:t>
      </w:r>
    </w:p>
    <w:p w14:paraId="1718CBF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5.3.1有投诉(异议)的项目，所有投标人投标保证金一律暂不退还。</w:t>
      </w:r>
    </w:p>
    <w:p w14:paraId="50E4C40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00C4F36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616140E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5.3.2保证金退还时间：</w:t>
      </w:r>
    </w:p>
    <w:p w14:paraId="624E7FE3">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如无投诉等特殊情况，中标结果公示期满后7个工作日内，退还非中标人的投标保证金。中标人投标保证金在履约保证金缴纳后退还。</w:t>
      </w:r>
    </w:p>
    <w:p w14:paraId="43E73711">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3794E2C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5.3.3有下列情形之一的，投标保证金将不予退还：</w:t>
      </w:r>
    </w:p>
    <w:p w14:paraId="1DA7EDD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①投标人在规定的投标有效期内撤销或修改其投标文件的；</w:t>
      </w:r>
    </w:p>
    <w:p w14:paraId="5F1A3B1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②中标人无正当理由拒绝签订合同；</w:t>
      </w:r>
    </w:p>
    <w:p w14:paraId="42DAAB4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③中标人弄虚作假骗取中标，其他投标虚假、恶意投诉或反映，干扰招投标活动的；</w:t>
      </w:r>
    </w:p>
    <w:p w14:paraId="40894C9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④中标项目经理被反映或投诉有在建工程，投标人及项目经理业绩为虚假业绩，并经查属实的。</w:t>
      </w:r>
    </w:p>
    <w:p w14:paraId="794051D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4355B55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六、本项目评标、定标办法采用“综合评估法”，具体内容详见招标文件。</w:t>
      </w:r>
    </w:p>
    <w:p w14:paraId="49D9A5D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14:paraId="5ABD2912">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八、本工程严禁挂靠、转包，一经核实挂靠、转包的，将被取消投标、中标资格，并按相关规定进行处罚，直至建议有关部门吊销资质证书。</w:t>
      </w:r>
    </w:p>
    <w:p w14:paraId="7871B259">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九、联系方式</w:t>
      </w:r>
    </w:p>
    <w:p w14:paraId="2029EE7F">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盐城华数信息服务有限公司</w:t>
      </w:r>
    </w:p>
    <w:p w14:paraId="0DE28319">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val="en-US" w:eastAsia="zh-CN"/>
        </w:rPr>
        <w:t>张林兵</w:t>
      </w:r>
    </w:p>
    <w:p w14:paraId="3A944913">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18019089006</w:t>
      </w:r>
    </w:p>
    <w:p w14:paraId="298AACD0">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招标代理机构：江苏仁禾中衡工程咨询房地产估价有限公司</w:t>
      </w:r>
    </w:p>
    <w:p w14:paraId="5787F94E">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联系人：成</w:t>
      </w:r>
      <w:r>
        <w:rPr>
          <w:rFonts w:hint="eastAsia" w:ascii="宋体" w:hAnsi="宋体" w:eastAsia="宋体" w:cs="宋体"/>
          <w:color w:val="auto"/>
          <w:sz w:val="21"/>
          <w:szCs w:val="21"/>
          <w:highlight w:val="none"/>
          <w:lang w:val="en-US" w:eastAsia="zh-CN"/>
        </w:rPr>
        <w:t>先生</w:t>
      </w:r>
    </w:p>
    <w:p w14:paraId="511499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联系电话：13805105522</w:t>
      </w:r>
    </w:p>
    <w:p w14:paraId="1FE35335">
      <w:pPr>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p w14:paraId="5762C66C">
      <w:pPr>
        <w:pageBreakBefore w:val="0"/>
        <w:widowControl w:val="0"/>
        <w:kinsoku/>
        <w:wordWrap/>
        <w:overflowPunct/>
        <w:topLinePunct w:val="0"/>
        <w:autoSpaceDE/>
        <w:autoSpaceDN/>
        <w:bidi w:val="0"/>
        <w:adjustRightInd/>
        <w:snapToGrid/>
        <w:textAlignment w:val="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D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2025-02-05T01:30:59Z</dcterms:created>
  <dc:creator>Lenovo</dc:creator>
  <cp:lastModifiedBy>赵小倩</cp:lastModifiedBy>
  <dcterms:modified xsi:type="dcterms:W3CDTF">2025-02-05T01:42:49Z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eyJoZGlkIjoiZjgwNGYxYTg1MjUxZTdkYzI0NzEwYzdhZDNhMTg0MjUiLCJ1c2VySWQiOiI3NjY3MzUxNDkifQ==</vt:lpwstr>
  </property>
  <property fmtid="{D5CDD505-2E9C-101B-9397-08002B2CF9AE}" pid="4" name="ICV">
    <vt:lpwstr>778161E639284835BC4486AB0C728C64_12</vt:lpwstr>
  </property>
</Properties>
</file>