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AF315">
      <w:pPr>
        <w:pStyle w:val="9"/>
        <w:widowControl/>
        <w:spacing w:line="480" w:lineRule="exact"/>
        <w:ind w:firstLine="480"/>
        <w:jc w:val="center"/>
        <w:rPr>
          <w:rFonts w:ascii="宋体" w:hAnsi="宋体" w:eastAsia="宋体" w:cs="宋体"/>
          <w:b/>
          <w:bCs/>
          <w:kern w:val="2"/>
          <w:sz w:val="36"/>
          <w:szCs w:val="36"/>
        </w:rPr>
      </w:pPr>
      <w:bookmarkStart w:id="0" w:name="OLE_LINK3"/>
      <w:bookmarkStart w:id="1" w:name="OLE_LINK1"/>
      <w:r>
        <w:rPr>
          <w:rFonts w:hint="eastAsia" w:ascii="宋体" w:hAnsi="宋体" w:eastAsia="宋体" w:cs="宋体"/>
          <w:b/>
          <w:bCs/>
          <w:kern w:val="2"/>
          <w:sz w:val="36"/>
          <w:szCs w:val="36"/>
          <w:lang w:eastAsia="zh-CN"/>
        </w:rPr>
        <w:t>市民开放空间展厅装修工程</w:t>
      </w:r>
      <w:r>
        <w:rPr>
          <w:rFonts w:hint="eastAsia" w:ascii="宋体" w:hAnsi="宋体" w:eastAsia="宋体" w:cs="宋体"/>
          <w:b/>
          <w:bCs/>
          <w:kern w:val="2"/>
          <w:sz w:val="36"/>
          <w:szCs w:val="36"/>
        </w:rPr>
        <w:t>招标公告</w:t>
      </w:r>
    </w:p>
    <w:p w14:paraId="2FE531BE">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一、招标条件</w:t>
      </w:r>
    </w:p>
    <w:p w14:paraId="483E79F4">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lang w:eastAsia="zh-CN"/>
        </w:rPr>
        <w:t>市民开放空间展厅装修工程</w:t>
      </w:r>
      <w:r>
        <w:rPr>
          <w:rFonts w:hint="eastAsia" w:ascii="宋体" w:hAnsi="宋体" w:eastAsia="宋体" w:cs="宋体"/>
          <w:kern w:val="2"/>
          <w:sz w:val="21"/>
          <w:szCs w:val="21"/>
        </w:rPr>
        <w:t>已经批准建设，工程所需资金来源自筹并已落实。已具备招标条件，现对该项目进行公开招标。本次招标对投标人</w:t>
      </w:r>
      <w:bookmarkStart w:id="2" w:name="_GoBack"/>
      <w:bookmarkEnd w:id="2"/>
      <w:r>
        <w:rPr>
          <w:rFonts w:hint="eastAsia" w:ascii="宋体" w:hAnsi="宋体" w:eastAsia="宋体" w:cs="宋体"/>
          <w:kern w:val="2"/>
          <w:sz w:val="21"/>
          <w:szCs w:val="21"/>
        </w:rPr>
        <w:t>的资格审查，采用资格后审方法选择合格的投标申请人参加投标。</w:t>
      </w:r>
    </w:p>
    <w:p w14:paraId="2FBBFC07">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二、项目概况</w:t>
      </w:r>
    </w:p>
    <w:p w14:paraId="499671EE">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1、工程名称：</w:t>
      </w:r>
      <w:r>
        <w:rPr>
          <w:rFonts w:hint="eastAsia" w:ascii="宋体" w:hAnsi="宋体" w:eastAsia="宋体" w:cs="宋体"/>
          <w:kern w:val="2"/>
          <w:sz w:val="21"/>
          <w:szCs w:val="21"/>
          <w:lang w:eastAsia="zh-CN"/>
        </w:rPr>
        <w:t>市民开放空间展厅装修工程</w:t>
      </w:r>
      <w:r>
        <w:rPr>
          <w:rFonts w:hint="eastAsia" w:ascii="宋体" w:hAnsi="宋体" w:eastAsia="宋体" w:cs="宋体"/>
          <w:kern w:val="2"/>
          <w:sz w:val="21"/>
          <w:szCs w:val="21"/>
        </w:rPr>
        <w:t>。</w:t>
      </w:r>
    </w:p>
    <w:p w14:paraId="4E01D5AF">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2、建设单位：</w:t>
      </w:r>
      <w:r>
        <w:rPr>
          <w:rFonts w:hint="eastAsia" w:ascii="宋体" w:hAnsi="宋体" w:eastAsia="宋体" w:cs="宋体"/>
          <w:kern w:val="2"/>
          <w:sz w:val="21"/>
          <w:szCs w:val="21"/>
          <w:lang w:eastAsia="zh-CN"/>
        </w:rPr>
        <w:t>盐城市大数据集团有限公司</w:t>
      </w:r>
      <w:r>
        <w:rPr>
          <w:rFonts w:hint="eastAsia" w:ascii="宋体" w:hAnsi="宋体" w:eastAsia="宋体" w:cs="宋体"/>
          <w:kern w:val="2"/>
          <w:sz w:val="21"/>
          <w:szCs w:val="21"/>
        </w:rPr>
        <w:t>。</w:t>
      </w:r>
    </w:p>
    <w:p w14:paraId="36072A2E">
      <w:pPr>
        <w:pStyle w:val="9"/>
        <w:widowControl/>
        <w:spacing w:line="480" w:lineRule="exact"/>
        <w:ind w:firstLine="48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3、工程地点：盐南高新区大数据产业园。</w:t>
      </w:r>
    </w:p>
    <w:p w14:paraId="14EA9D7D">
      <w:pPr>
        <w:pStyle w:val="9"/>
        <w:widowControl/>
        <w:spacing w:line="480" w:lineRule="exact"/>
        <w:ind w:firstLine="48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lang w:eastAsia="zh-CN"/>
        </w:rPr>
        <w:t>4、工程规模</w:t>
      </w:r>
      <w:r>
        <w:rPr>
          <w:rFonts w:hint="eastAsia" w:ascii="宋体" w:hAnsi="宋体" w:eastAsia="宋体" w:cs="宋体"/>
          <w:kern w:val="2"/>
          <w:sz w:val="21"/>
          <w:szCs w:val="21"/>
          <w:highlight w:val="none"/>
          <w:lang w:eastAsia="zh-CN"/>
        </w:rPr>
        <w:t>：工程造价约</w:t>
      </w:r>
      <w:r>
        <w:rPr>
          <w:rFonts w:hint="eastAsia" w:ascii="宋体" w:hAnsi="宋体" w:eastAsia="宋体" w:cs="宋体"/>
          <w:kern w:val="2"/>
          <w:sz w:val="21"/>
          <w:szCs w:val="21"/>
          <w:highlight w:val="none"/>
          <w:lang w:val="en-US" w:eastAsia="zh-CN"/>
        </w:rPr>
        <w:t>175</w:t>
      </w:r>
      <w:r>
        <w:rPr>
          <w:rFonts w:hint="eastAsia" w:ascii="宋体" w:hAnsi="宋体" w:eastAsia="宋体" w:cs="宋体"/>
          <w:kern w:val="2"/>
          <w:sz w:val="21"/>
          <w:szCs w:val="21"/>
          <w:highlight w:val="none"/>
          <w:lang w:eastAsia="zh-CN"/>
        </w:rPr>
        <w:t>万元。</w:t>
      </w:r>
    </w:p>
    <w:p w14:paraId="0E29BB2E">
      <w:pPr>
        <w:pStyle w:val="9"/>
        <w:widowControl/>
        <w:spacing w:line="480" w:lineRule="exact"/>
        <w:ind w:firstLine="480"/>
        <w:jc w:val="both"/>
        <w:rPr>
          <w:rFonts w:ascii="宋体" w:hAnsi="宋体" w:eastAsia="宋体" w:cs="宋体"/>
          <w:kern w:val="2"/>
          <w:sz w:val="21"/>
          <w:szCs w:val="21"/>
          <w:highlight w:val="none"/>
        </w:rPr>
      </w:pPr>
      <w:r>
        <w:rPr>
          <w:rFonts w:hint="eastAsia" w:ascii="宋体" w:hAnsi="宋体" w:eastAsia="宋体" w:cs="宋体"/>
          <w:kern w:val="2"/>
          <w:sz w:val="21"/>
          <w:szCs w:val="21"/>
          <w:highlight w:val="none"/>
        </w:rPr>
        <w:t>5、质量要求：合格标准。</w:t>
      </w:r>
    </w:p>
    <w:p w14:paraId="0CFAB19F">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6、要求工期：30日历天，具体服从招标人建设要求。</w:t>
      </w:r>
    </w:p>
    <w:p w14:paraId="209455B1">
      <w:pPr>
        <w:pStyle w:val="9"/>
        <w:widowControl/>
        <w:spacing w:line="480" w:lineRule="exact"/>
        <w:ind w:firstLine="480"/>
        <w:rPr>
          <w:rFonts w:ascii="宋体" w:hAnsi="宋体" w:eastAsia="宋体" w:cs="宋体"/>
          <w:kern w:val="2"/>
          <w:sz w:val="21"/>
          <w:szCs w:val="21"/>
        </w:rPr>
      </w:pPr>
      <w:r>
        <w:rPr>
          <w:rFonts w:hint="eastAsia" w:ascii="宋体" w:hAnsi="宋体" w:eastAsia="宋体" w:cs="宋体"/>
          <w:kern w:val="2"/>
          <w:sz w:val="21"/>
          <w:szCs w:val="21"/>
        </w:rPr>
        <w:t>7、标段划分及招标范围：本招标工程为一个标段；主要内容包括（但不限于）：</w:t>
      </w:r>
      <w:r>
        <w:rPr>
          <w:rFonts w:hint="eastAsia" w:ascii="宋体" w:hAnsi="宋体" w:eastAsia="宋体" w:cs="宋体"/>
          <w:kern w:val="2"/>
          <w:sz w:val="21"/>
          <w:szCs w:val="21"/>
          <w:lang w:eastAsia="zh-CN"/>
        </w:rPr>
        <w:t>市民开放空间展厅装修工程</w:t>
      </w:r>
      <w:r>
        <w:rPr>
          <w:rFonts w:hint="eastAsia" w:ascii="宋体" w:hAnsi="宋体" w:eastAsia="宋体" w:cs="宋体"/>
          <w:kern w:val="2"/>
          <w:sz w:val="21"/>
          <w:szCs w:val="21"/>
        </w:rPr>
        <w:t>的施工</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包含但不限于：智能化、水电、装饰、软装及家具等</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，具体以招标人提供的施工图纸和工程量清单为准。招标人保留对招标范围内工程量适当调整的权利。</w:t>
      </w:r>
    </w:p>
    <w:p w14:paraId="2B273BB5">
      <w:pPr>
        <w:pStyle w:val="9"/>
        <w:widowControl/>
        <w:spacing w:line="480" w:lineRule="exact"/>
        <w:ind w:firstLine="480"/>
        <w:rPr>
          <w:rFonts w:ascii="宋体" w:hAnsi="宋体" w:eastAsia="宋体" w:cs="宋体"/>
          <w:kern w:val="2"/>
          <w:sz w:val="21"/>
          <w:szCs w:val="21"/>
        </w:rPr>
      </w:pPr>
      <w:r>
        <w:rPr>
          <w:rFonts w:hint="eastAsia" w:ascii="宋体" w:hAnsi="宋体" w:eastAsia="宋体" w:cs="宋体"/>
          <w:kern w:val="2"/>
          <w:sz w:val="21"/>
          <w:szCs w:val="21"/>
        </w:rPr>
        <w:t>三、投标人应当具备的主要资格条件</w:t>
      </w:r>
    </w:p>
    <w:p w14:paraId="058BBACF">
      <w:pPr>
        <w:spacing w:line="360" w:lineRule="auto"/>
        <w:ind w:firstLine="420" w:firstLineChars="200"/>
        <w:contextualSpacing/>
        <w:rPr>
          <w:rFonts w:hint="eastAsia" w:ascii="宋体" w:hAnsi="宋体" w:eastAsia="宋体" w:cs="宋体"/>
          <w:kern w:val="2"/>
          <w:sz w:val="21"/>
          <w:szCs w:val="21"/>
          <w:lang w:val="en-US" w:eastAsia="zh-CN" w:bidi="ar-SA"/>
        </w:rPr>
      </w:pPr>
      <w:r>
        <w:rPr>
          <w:rFonts w:hint="eastAsia" w:ascii="宋体" w:hAnsi="宋体" w:eastAsia="宋体" w:cs="宋体"/>
          <w:kern w:val="0"/>
          <w:szCs w:val="21"/>
        </w:rPr>
        <w:t>1、投标人资质类别和等级：</w:t>
      </w:r>
      <w:r>
        <w:rPr>
          <w:rFonts w:hint="eastAsia" w:ascii="宋体" w:hAnsi="宋体" w:eastAsia="宋体" w:cs="宋体"/>
          <w:kern w:val="2"/>
          <w:sz w:val="21"/>
          <w:szCs w:val="21"/>
          <w:lang w:val="en-US" w:eastAsia="zh-CN" w:bidi="ar-SA"/>
        </w:rPr>
        <w:t>投标人须具有建设行政主管部门颁发的建筑工程施工总承包三级及以上资质的独立法人，并取得有效的企业安全生产许可证。</w:t>
      </w:r>
    </w:p>
    <w:p w14:paraId="1A01A1E1">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2、项目负责人资质和要求：投标项目负责人必须是投标人本单位的正式职工，具有注册专业为建筑工程专业二级及以上建造师资格证书，同时具有《建筑施工企业项目负责人安全生产考核合格证》（B类），且无在建工程（如发生投诉或反映，被投诉人或被反映人须提供工程所在地建设行政主管部门出具的该项目经理无在建工程的书面证明）。</w:t>
      </w:r>
    </w:p>
    <w:p w14:paraId="3351E41F">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3、本次招标不接受联合体投标。</w:t>
      </w:r>
    </w:p>
    <w:p w14:paraId="65B1FB44">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4、其他要求：</w:t>
      </w:r>
    </w:p>
    <w:p w14:paraId="00623341">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4.1财务要求：投标人应具有独立订立合同的能力，未处于财产被接管、冻结和破产状态。</w:t>
      </w:r>
    </w:p>
    <w:p w14:paraId="6488D73C">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 xml:space="preserve">4.2业绩要求：无。       </w:t>
      </w:r>
    </w:p>
    <w:p w14:paraId="0C265555">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4.3信誉要求：</w:t>
      </w:r>
    </w:p>
    <w:p w14:paraId="1D2E4AE0">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4.3.1被国家、江苏本省省级有关部门及盐城本市市级、盐南高新区有关部门暂停招投标或市场准入资格且在公示处罚期内的。</w:t>
      </w:r>
    </w:p>
    <w:p w14:paraId="5528653D">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4.3.2近3年内有行贿犯罪行为且被记录，或者法定代表人、项目负责人有行贿犯罪记录且自记录之日起未超过5年的。（均自记录之日起至投标截止日止）</w:t>
      </w:r>
    </w:p>
    <w:p w14:paraId="04404230">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 xml:space="preserve">4.3.3被人民法院列为失信被执行人的信息正在被“信用中国”、“信用江苏”网站公布的，投标截止时间前失信被执行人信息已撤销或更正的除外。 </w:t>
      </w:r>
    </w:p>
    <w:p w14:paraId="3653352A">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4.3.4投标人作为失信联合惩戒对象被采取依法限制参与建设工程招投标惩戒措施的，且被有关部门推送在“信用中国”、“信用江苏”、“信用盐城”相关网站公示且在有效期内的。</w:t>
      </w:r>
    </w:p>
    <w:p w14:paraId="749187F2">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0D0FB610">
      <w:pPr>
        <w:pStyle w:val="9"/>
        <w:widowControl/>
        <w:spacing w:line="480" w:lineRule="exact"/>
        <w:ind w:firstLine="480"/>
        <w:jc w:val="both"/>
        <w:rPr>
          <w:rFonts w:hint="eastAsia" w:ascii="宋体" w:hAnsi="宋体" w:eastAsia="宋体" w:cs="宋体"/>
          <w:kern w:val="2"/>
          <w:sz w:val="21"/>
          <w:szCs w:val="21"/>
        </w:rPr>
      </w:pPr>
      <w:r>
        <w:rPr>
          <w:rFonts w:hint="eastAsia" w:ascii="宋体" w:hAnsi="宋体" w:eastAsia="宋体" w:cs="宋体"/>
          <w:kern w:val="2"/>
          <w:sz w:val="21"/>
          <w:szCs w:val="21"/>
        </w:rPr>
        <w:t>4.4项目负责人从本工程投标文件递交截止之日起必须满足下列条件：</w:t>
      </w:r>
    </w:p>
    <w:p w14:paraId="4A0A779D">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项目负责人不得同时在两个或者两个以上单位受聘或者执业。</w:t>
      </w:r>
    </w:p>
    <w:p w14:paraId="13FDD30D">
      <w:pPr>
        <w:pStyle w:val="9"/>
        <w:widowControl/>
        <w:spacing w:line="480" w:lineRule="exact"/>
        <w:ind w:firstLine="480"/>
        <w:jc w:val="both"/>
        <w:rPr>
          <w:rFonts w:ascii="宋体" w:hAnsi="宋体" w:eastAsia="宋体" w:cs="宋体"/>
          <w:szCs w:val="21"/>
        </w:rPr>
      </w:pPr>
      <w:r>
        <w:rPr>
          <w:rFonts w:hint="eastAsia" w:ascii="宋体" w:hAnsi="宋体" w:eastAsia="宋体" w:cs="宋体"/>
          <w:kern w:val="2"/>
          <w:sz w:val="21"/>
          <w:szCs w:val="21"/>
        </w:rPr>
        <w:t>4.4.1</w:t>
      </w:r>
      <w:r>
        <w:rPr>
          <w:rFonts w:ascii="宋体" w:hAnsi="宋体" w:eastAsia="宋体" w:cs="宋体"/>
          <w:szCs w:val="21"/>
        </w:rPr>
        <w:t xml:space="preserve"> </w:t>
      </w:r>
      <w:r>
        <w:rPr>
          <w:rFonts w:hint="eastAsia" w:ascii="宋体" w:hAnsi="宋体" w:eastAsia="宋体" w:cs="宋体"/>
          <w:kern w:val="2"/>
          <w:sz w:val="21"/>
          <w:szCs w:val="21"/>
        </w:rPr>
        <w:t>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0A843985">
      <w:pPr>
        <w:widowControl/>
        <w:spacing w:line="440" w:lineRule="exact"/>
        <w:ind w:firstLine="630" w:firstLineChars="300"/>
        <w:jc w:val="left"/>
      </w:pPr>
      <w:r>
        <w:rPr>
          <w:rFonts w:hint="eastAsia" w:ascii="宋体" w:hAnsi="宋体" w:eastAsia="宋体" w:cs="宋体"/>
          <w:szCs w:val="21"/>
        </w:rPr>
        <w:t>在建工程：</w:t>
      </w:r>
      <w:r>
        <w:t>处于中标结果公告（直接发包的项目以网上合同备案</w:t>
      </w:r>
      <w:r>
        <w:rPr>
          <w:rFonts w:hint="eastAsia"/>
        </w:rPr>
        <w:t>或归集</w:t>
      </w:r>
      <w:r>
        <w:t>为准）到合同约定的工程全部完成且竣工验收合格期间的工程。竣工验收证明是指由建设单位（或监理）组织工程建设各方验收合格， 并签署相应的单位工程质量竣工验收记录或者分部工程质量验 收记录等验收文件。</w:t>
      </w:r>
    </w:p>
    <w:p w14:paraId="0F57460F">
      <w:pPr>
        <w:widowControl/>
        <w:spacing w:line="440" w:lineRule="exact"/>
        <w:ind w:firstLine="413" w:firstLineChars="196"/>
        <w:jc w:val="left"/>
      </w:pPr>
      <w:r>
        <w:rPr>
          <w:rFonts w:hint="eastAsia"/>
          <w:b/>
        </w:rPr>
        <w:t>本项目招标文件项目负责人有在养护期内的绿化养护、市政养护项目的，</w:t>
      </w:r>
      <w:r>
        <w:rPr>
          <w:b/>
        </w:rPr>
        <w:t>不属于招标公告及文件规定的有在建工程</w:t>
      </w:r>
      <w:r>
        <w:rPr>
          <w:rFonts w:hint="eastAsia"/>
          <w:b/>
        </w:rPr>
        <w:t>。绿化养护、市政养护工程招标，对项目负责人是否有在建工程不作要求。</w:t>
      </w:r>
    </w:p>
    <w:p w14:paraId="7DD1D9BE">
      <w:pPr>
        <w:pStyle w:val="9"/>
        <w:widowControl/>
        <w:spacing w:line="480" w:lineRule="exact"/>
        <w:ind w:firstLine="480"/>
        <w:jc w:val="both"/>
        <w:rPr>
          <w:rFonts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4.5.标申请人授权委托人及投标承诺的项目部人员均为本单位的正式职工，投标时提供项目负责人从2024年3月开始至投标截止之日当月至少1个月在本单位缴纳养老保险缴费记录证明。（退休人员提供在本单位相关证明。）除项目负责人的其他项目部人员及授权委托人投标时无需提供缴费记录证明，中标候选人公示前、异议（投诉）提出时相关单位需提供缴费记录证明原件给招标人核验</w:t>
      </w:r>
      <w:r>
        <w:rPr>
          <w:rFonts w:hint="eastAsia" w:cstheme="minorBidi"/>
          <w:kern w:val="2"/>
          <w:sz w:val="21"/>
          <w:szCs w:val="24"/>
          <w:lang w:val="en-US" w:eastAsia="zh-CN" w:bidi="ar-SA"/>
        </w:rPr>
        <w:t>。</w:t>
      </w:r>
    </w:p>
    <w:p w14:paraId="203AF185">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四、招标文件的领取</w:t>
      </w:r>
    </w:p>
    <w:p w14:paraId="52814C0F">
      <w:pPr>
        <w:pStyle w:val="9"/>
        <w:widowControl/>
        <w:spacing w:line="480" w:lineRule="exact"/>
        <w:ind w:firstLine="480"/>
        <w:jc w:val="both"/>
        <w:rPr>
          <w:rFonts w:hint="eastAsia" w:cstheme="minorBidi"/>
          <w:kern w:val="2"/>
          <w:sz w:val="21"/>
          <w:szCs w:val="24"/>
          <w:lang w:val="en-US" w:eastAsia="zh-CN" w:bidi="ar-SA"/>
        </w:rPr>
      </w:pPr>
      <w:r>
        <w:rPr>
          <w:rFonts w:hint="eastAsia" w:cstheme="minorBidi"/>
          <w:kern w:val="2"/>
          <w:sz w:val="21"/>
          <w:szCs w:val="24"/>
          <w:lang w:val="en-US" w:eastAsia="zh-CN" w:bidi="ar-SA"/>
        </w:rPr>
        <w:t>1、本招标公告发布后凡具备上述主要资格条件，并自愿参加本项目投标的申请人</w:t>
      </w:r>
      <w:r>
        <w:rPr>
          <w:rFonts w:hint="eastAsia" w:cstheme="minorBidi"/>
          <w:kern w:val="2"/>
          <w:sz w:val="21"/>
          <w:szCs w:val="24"/>
          <w:highlight w:val="none"/>
          <w:lang w:val="en-US" w:eastAsia="zh-CN" w:bidi="ar-SA"/>
        </w:rPr>
        <w:t>于</w:t>
      </w:r>
      <w:r>
        <w:rPr>
          <w:rFonts w:hint="eastAsia" w:cstheme="minorBidi"/>
          <w:b/>
          <w:bCs/>
          <w:kern w:val="2"/>
          <w:sz w:val="21"/>
          <w:szCs w:val="24"/>
          <w:highlight w:val="none"/>
          <w:lang w:val="en-US" w:eastAsia="zh-CN" w:bidi="ar-SA"/>
        </w:rPr>
        <w:t>2024年7月22日至2024年7月26日18时</w:t>
      </w:r>
      <w:r>
        <w:rPr>
          <w:rFonts w:hint="eastAsia" w:cstheme="minorBidi"/>
          <w:kern w:val="2"/>
          <w:sz w:val="21"/>
          <w:szCs w:val="24"/>
          <w:highlight w:val="none"/>
          <w:lang w:val="en-US" w:eastAsia="zh-CN" w:bidi="ar-SA"/>
        </w:rPr>
        <w:t>前，携带单位介绍信或授权委托书至江苏仁禾中衡工程咨</w:t>
      </w:r>
      <w:r>
        <w:rPr>
          <w:rFonts w:hint="eastAsia" w:cstheme="minorBidi"/>
          <w:kern w:val="2"/>
          <w:sz w:val="21"/>
          <w:szCs w:val="24"/>
          <w:lang w:val="en-US" w:eastAsia="zh-CN" w:bidi="ar-SA"/>
        </w:rPr>
        <w:t>询房地产估价有限公司（盐城市人民南路国际创投中心南四楼3A06室）报名购买招标文件。</w:t>
      </w:r>
    </w:p>
    <w:p w14:paraId="048E18AE">
      <w:pPr>
        <w:pStyle w:val="9"/>
        <w:widowControl/>
        <w:spacing w:line="480" w:lineRule="exact"/>
        <w:ind w:firstLine="480"/>
        <w:jc w:val="both"/>
        <w:rPr>
          <w:rFonts w:hint="default" w:cstheme="minorBidi"/>
          <w:kern w:val="2"/>
          <w:sz w:val="21"/>
          <w:szCs w:val="24"/>
          <w:lang w:val="en-US" w:eastAsia="zh-CN" w:bidi="ar-SA"/>
        </w:rPr>
      </w:pPr>
      <w:r>
        <w:rPr>
          <w:rFonts w:hint="eastAsia" w:cstheme="minorBidi"/>
          <w:kern w:val="2"/>
          <w:sz w:val="21"/>
          <w:szCs w:val="24"/>
          <w:lang w:val="en-US" w:eastAsia="zh-CN" w:bidi="ar-SA"/>
        </w:rPr>
        <w:t>2、投标文件的递交截止时间（开标时间）：</w:t>
      </w:r>
      <w:r>
        <w:rPr>
          <w:rFonts w:hint="eastAsia" w:cstheme="minorBidi"/>
          <w:b/>
          <w:bCs/>
          <w:kern w:val="2"/>
          <w:sz w:val="21"/>
          <w:szCs w:val="24"/>
          <w:lang w:val="en-US" w:eastAsia="zh-CN" w:bidi="ar-SA"/>
        </w:rPr>
        <w:t>2024年7月27日15：00时</w:t>
      </w:r>
      <w:r>
        <w:rPr>
          <w:rFonts w:hint="eastAsia" w:cstheme="minorBidi"/>
          <w:kern w:val="2"/>
          <w:sz w:val="21"/>
          <w:szCs w:val="24"/>
          <w:lang w:val="en-US" w:eastAsia="zh-CN" w:bidi="ar-SA"/>
        </w:rPr>
        <w:t>。</w:t>
      </w:r>
    </w:p>
    <w:p w14:paraId="15A9D2CC">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五、投标保证金的缴纳与退还</w:t>
      </w:r>
    </w:p>
    <w:p w14:paraId="18D39A4D">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5.1投标人在递交投标文件的同时，应按规定的金额、形式递交投标保证金，并作为其投标文件的组成部分。联合体投标的，其投标保证金有牵头人递交，并应符合有关规定。</w:t>
      </w:r>
    </w:p>
    <w:p w14:paraId="2E793E00">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5.2本工程投标保证金数额：</w:t>
      </w:r>
      <w:r>
        <w:rPr>
          <w:rFonts w:hint="eastAsia" w:ascii="宋体" w:hAnsi="宋体" w:eastAsia="宋体" w:cs="宋体"/>
          <w:b/>
          <w:bCs/>
          <w:kern w:val="2"/>
          <w:sz w:val="21"/>
          <w:szCs w:val="21"/>
          <w:u w:val="single"/>
          <w:lang w:val="en-US" w:eastAsia="zh-CN"/>
        </w:rPr>
        <w:t>3</w:t>
      </w:r>
      <w:r>
        <w:rPr>
          <w:rFonts w:hint="eastAsia" w:ascii="宋体" w:hAnsi="宋体" w:eastAsia="宋体" w:cs="宋体"/>
          <w:b/>
          <w:bCs/>
          <w:kern w:val="2"/>
          <w:sz w:val="21"/>
          <w:szCs w:val="21"/>
          <w:u w:val="single"/>
        </w:rPr>
        <w:t>万元</w:t>
      </w:r>
      <w:r>
        <w:rPr>
          <w:rFonts w:hint="eastAsia" w:ascii="宋体" w:hAnsi="宋体" w:eastAsia="宋体" w:cs="宋体"/>
          <w:kern w:val="2"/>
          <w:sz w:val="21"/>
          <w:szCs w:val="21"/>
        </w:rPr>
        <w:t>。投标人须在本工程开标前办理投标保证金缴纳手续，投标保证金有效期与投标有效期一致。各投标人必须以企业法人基本存款账户办理保证金缴纳手续，否则不予接受。</w:t>
      </w:r>
    </w:p>
    <w:p w14:paraId="790B577C">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5.2.1投标保证金可采用现金、电子保函（保单）形式，投标人根据企业实际情况合理选择投标保证金的缴纳形式，不同缴纳形式具有同等法律效力。具体缴纳方式为：</w:t>
      </w:r>
    </w:p>
    <w:p w14:paraId="2165EAC0">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5.2.1.1</w:t>
      </w:r>
      <w:r>
        <w:rPr>
          <w:rFonts w:hint="eastAsia" w:ascii="宋体" w:hAnsi="宋体" w:eastAsia="宋体" w:cs="宋体"/>
          <w:kern w:val="2"/>
          <w:sz w:val="21"/>
          <w:szCs w:val="21"/>
          <w:lang w:val="en-US" w:eastAsia="zh-CN"/>
        </w:rPr>
        <w:t>现</w:t>
      </w:r>
      <w:r>
        <w:rPr>
          <w:rFonts w:hint="eastAsia" w:ascii="宋体" w:hAnsi="宋体" w:eastAsia="宋体" w:cs="宋体"/>
          <w:color w:val="000000"/>
          <w:sz w:val="21"/>
          <w:szCs w:val="21"/>
        </w:rPr>
        <w:t>金缴纳方式：采用转账、银行汇票、本票等形式。投标人须在投标截止时间前将投标保证金从投标人本单位的基本账户上汇出（以投标人汇出资金的银行日期为准，且保证金汇出单位必须与投标人名称一致）。收款人</w:t>
      </w:r>
      <w:r>
        <w:rPr>
          <w:rFonts w:hint="eastAsia" w:ascii="宋体" w:hAnsi="宋体" w:eastAsia="宋体" w:cs="宋体"/>
          <w:color w:val="000000"/>
          <w:sz w:val="21"/>
          <w:szCs w:val="21"/>
          <w:lang w:val="en-US" w:eastAsia="zh-CN"/>
        </w:rPr>
        <w:t>名称</w:t>
      </w:r>
      <w:r>
        <w:rPr>
          <w:rFonts w:hint="eastAsia" w:ascii="宋体" w:hAnsi="宋体" w:eastAsia="宋体" w:cs="宋体"/>
          <w:color w:val="000000"/>
          <w:sz w:val="21"/>
          <w:szCs w:val="21"/>
        </w:rPr>
        <w:t>：盐城市大数据集团有限公司，开户行：兴业银行盐城分行，开户行账号：402010100100050711。投标截止时间之前，各投标人将加盖投标单位公章的转账截图（转账须备注项目名称）或银行汇票或银行本票原件及加盖投标单位公章的基本户开户许可证带至开标现场交工作人员核验。未按招标文件约定要求缴纳投标保证金，其投标文件不予接收。</w:t>
      </w:r>
    </w:p>
    <w:p w14:paraId="087FAD32">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5.2.1.2</w:t>
      </w:r>
      <w:r>
        <w:rPr>
          <w:rFonts w:hint="eastAsia" w:ascii="宋体" w:hAnsi="宋体" w:eastAsia="宋体" w:cs="宋体"/>
          <w:color w:val="000000"/>
          <w:sz w:val="21"/>
          <w:szCs w:val="21"/>
        </w:rPr>
        <w:t>采用银行保函缴纳：投标人须在投标截止时间前将投标人基本账户开户行出具的银行保函原件带至开标现场交工作人员核验。</w:t>
      </w:r>
    </w:p>
    <w:p w14:paraId="7BAC850A">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5.2.1.3对信用服务机构依据《江苏省企业信用评价指引（试行）》（苏信用办〔2021 ] 17号）评定为 AA 级及以上的投标人免交投标保证金，投标时需提供经市发展改革委（市信用办）备案的第三方信用报告原件彩色扫描件，且信用报告概述页等内容通过“信用盐城网”可查证。</w:t>
      </w:r>
    </w:p>
    <w:p w14:paraId="03C9D77E">
      <w:pPr>
        <w:spacing w:line="520" w:lineRule="exact"/>
        <w:ind w:firstLine="420" w:firstLineChars="200"/>
        <w:rPr>
          <w:rFonts w:ascii="宋体" w:hAnsi="宋体" w:eastAsia="宋体" w:cs="宋体"/>
          <w:szCs w:val="21"/>
        </w:rPr>
      </w:pPr>
      <w:r>
        <w:rPr>
          <w:rFonts w:hint="eastAsia" w:ascii="宋体" w:hAnsi="宋体" w:eastAsia="宋体" w:cs="宋体"/>
          <w:szCs w:val="21"/>
        </w:rPr>
        <w:t>5.2.1.4</w:t>
      </w:r>
      <w:r>
        <w:rPr>
          <w:rFonts w:ascii="宋体" w:hAnsi="宋体" w:eastAsia="宋体" w:cs="宋体"/>
          <w:szCs w:val="21"/>
        </w:rPr>
        <w:t>信用承诺替代投标保证金。</w:t>
      </w:r>
      <w:r>
        <w:rPr>
          <w:rFonts w:hint="eastAsia" w:ascii="宋体" w:hAnsi="宋体" w:eastAsia="宋体" w:cs="宋体"/>
          <w:szCs w:val="21"/>
        </w:rPr>
        <w:t>本工程接受投标人以“投标保证金信用承诺函”方式替代投标保证金，投标保证金信用承诺函作为投标文件组成部分一并提交招标人，除法定例外情况，在有效期内(提交投标文件截止时间后到招标文件规定投标有效期终止前)不得撤销撤回(投标保证金信用承诺函参照附件A)。</w:t>
      </w:r>
    </w:p>
    <w:p w14:paraId="166EB5B3">
      <w:pPr>
        <w:spacing w:line="520" w:lineRule="exact"/>
        <w:ind w:firstLine="420" w:firstLineChars="200"/>
        <w:rPr>
          <w:rFonts w:ascii="宋体" w:hAnsi="宋体" w:eastAsia="宋体" w:cs="宋体"/>
          <w:szCs w:val="21"/>
        </w:rPr>
      </w:pPr>
      <w:r>
        <w:rPr>
          <w:rFonts w:hint="eastAsia" w:ascii="宋体" w:hAnsi="宋体" w:eastAsia="宋体" w:cs="宋体"/>
          <w:szCs w:val="21"/>
        </w:rPr>
        <w:t>采用投标保证金信用承诺替代投标保证金的投标人需信用良好，其中以联合体形式投标并采用信用承诺函替代投标保证金的，联合体各成员均须出具投标保证金信用承诺函。</w:t>
      </w:r>
    </w:p>
    <w:p w14:paraId="20BD5EA9">
      <w:pPr>
        <w:spacing w:line="520" w:lineRule="exact"/>
        <w:ind w:firstLine="420" w:firstLineChars="200"/>
        <w:rPr>
          <w:rFonts w:ascii="宋体" w:hAnsi="宋体" w:eastAsia="宋体" w:cs="宋体"/>
          <w:szCs w:val="21"/>
        </w:rPr>
      </w:pPr>
      <w:r>
        <w:rPr>
          <w:rFonts w:hint="eastAsia" w:ascii="宋体" w:hAnsi="宋体" w:eastAsia="宋体" w:cs="宋体"/>
          <w:szCs w:val="21"/>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07589CC5">
      <w:pPr>
        <w:spacing w:line="520" w:lineRule="exact"/>
        <w:ind w:firstLine="420" w:firstLineChars="200"/>
        <w:rPr>
          <w:rFonts w:ascii="宋体" w:hAnsi="宋体" w:eastAsia="宋体" w:cs="宋体"/>
          <w:szCs w:val="21"/>
        </w:rPr>
      </w:pPr>
      <w:r>
        <w:rPr>
          <w:rFonts w:hint="eastAsia" w:ascii="宋体" w:hAnsi="宋体" w:eastAsia="宋体" w:cs="宋体"/>
          <w:szCs w:val="21"/>
        </w:rPr>
        <w:t xml:space="preserve">采用信用承诺替代投标保证金的，不免除投标人违法、违规、违约责任的义务。 </w:t>
      </w:r>
    </w:p>
    <w:p w14:paraId="2C9FC6ED">
      <w:pPr>
        <w:spacing w:line="520" w:lineRule="exact"/>
        <w:ind w:firstLine="422" w:firstLineChars="200"/>
        <w:rPr>
          <w:rFonts w:ascii="宋体" w:hAnsi="宋体" w:eastAsia="宋体" w:cs="宋体"/>
          <w:b/>
          <w:bCs/>
          <w:szCs w:val="21"/>
        </w:rPr>
      </w:pPr>
      <w:r>
        <w:rPr>
          <w:rFonts w:hint="eastAsia" w:ascii="宋体" w:hAnsi="宋体" w:eastAsia="宋体" w:cs="宋体"/>
          <w:b/>
          <w:bCs/>
          <w:szCs w:val="21"/>
        </w:rPr>
        <w:t>未按上述要求交纳投标保证金的，经评标委员会认定后，其投标文件为无效投标文件。</w:t>
      </w:r>
    </w:p>
    <w:p w14:paraId="7BEA6018">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5.3投标保证金的退还</w:t>
      </w:r>
    </w:p>
    <w:p w14:paraId="7D3B0293">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5.3.1有投诉(异议)的项目，所有投标人投标保证金一律暂不退还。</w:t>
      </w:r>
    </w:p>
    <w:p w14:paraId="63BD8DD8">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因恶意投诉（异议）的、利用保密信息投诉的及投诉（异议）不实的投诉行为被通报的，自通报之日起6个月内，投诉（异议）人所有投标项目的投标保证金在招标项目签订合同后予以退还。</w:t>
      </w:r>
    </w:p>
    <w:p w14:paraId="062D2174">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投诉人故意捏造事实、伪造证明材料或者以非法手段取得证明材料进行投诉的给他人造成的损失的，投诉人依法承担赔偿责任。招标人直接扣减相应数额，确认应予退还保证金的数额，并经监管机关存档后，办理退款手续。</w:t>
      </w:r>
    </w:p>
    <w:p w14:paraId="47E161DF">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5.3.2保证金退还时间：</w:t>
      </w:r>
    </w:p>
    <w:p w14:paraId="4A3C1590">
      <w:pPr>
        <w:spacing w:line="500" w:lineRule="exact"/>
        <w:ind w:firstLine="420" w:firstLineChars="200"/>
        <w:contextualSpacing/>
        <w:rPr>
          <w:rFonts w:ascii="宋体" w:hAnsi="宋体" w:eastAsia="宋体" w:cs="宋体"/>
          <w:szCs w:val="21"/>
        </w:rPr>
      </w:pPr>
      <w:r>
        <w:rPr>
          <w:rFonts w:hint="eastAsia" w:ascii="宋体" w:hAnsi="宋体" w:eastAsia="宋体" w:cs="宋体"/>
          <w:szCs w:val="21"/>
        </w:rPr>
        <w:t>如无投诉等特殊情况，中标结果公示期满后7个工作日内，退还非中标人的投标保证金。中标人投标保证金在履约保证金缴纳后退还。</w:t>
      </w:r>
      <w:r>
        <w:rPr>
          <w:rFonts w:hint="eastAsia" w:ascii="宋体" w:hAnsi="宋体" w:eastAsia="宋体" w:cs="宋体"/>
          <w:szCs w:val="21"/>
        </w:rPr>
        <w:br w:type="textWrapping"/>
      </w:r>
      <w:r>
        <w:rPr>
          <w:rFonts w:hint="eastAsia" w:ascii="宋体" w:hAnsi="宋体" w:eastAsia="宋体" w:cs="宋体"/>
          <w:szCs w:val="21"/>
        </w:rPr>
        <w:t xml:space="preserve">  备注：以现金形式缴纳的投标保证金，向中标人和未中标的投标人退还投标保证金时同时退还银行同期存款利息。以保函（保单）形式缴纳的保证金按相关协议执行，无需办理退款手续。</w:t>
      </w:r>
    </w:p>
    <w:p w14:paraId="20CB5F7B">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5.3.3有下列情形之一的，投标保证金将不予退还：</w:t>
      </w:r>
    </w:p>
    <w:p w14:paraId="6F20F2D1">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①投标人在规定的投标有效期内撤销或修改其投标文件的；</w:t>
      </w:r>
    </w:p>
    <w:p w14:paraId="16D264B1">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②中标人无正当理由拒绝签订合同；</w:t>
      </w:r>
    </w:p>
    <w:p w14:paraId="134143DB">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③中标人弄虚作假骗取中标，其他投标虚假、恶意投诉或反映，干扰招投标活动的；</w:t>
      </w:r>
    </w:p>
    <w:p w14:paraId="1B30A8C9">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④中标项目经理被反映或投诉有在建工程，投标人及项目经理业绩为虚假业绩，并经查属实的。</w:t>
      </w:r>
    </w:p>
    <w:p w14:paraId="5308F5AA">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4799F94F">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六、本项目评标、定标办法采用“</w:t>
      </w:r>
      <w:r>
        <w:rPr>
          <w:rFonts w:hint="eastAsia" w:ascii="宋体" w:hAnsi="宋体" w:eastAsia="宋体" w:cs="宋体"/>
          <w:kern w:val="2"/>
          <w:sz w:val="21"/>
          <w:szCs w:val="21"/>
          <w:lang w:val="en-US" w:eastAsia="zh-CN"/>
        </w:rPr>
        <w:t>综合评估</w:t>
      </w:r>
      <w:r>
        <w:rPr>
          <w:rFonts w:hint="eastAsia" w:ascii="宋体" w:hAnsi="宋体" w:eastAsia="宋体" w:cs="宋体"/>
          <w:kern w:val="2"/>
          <w:sz w:val="21"/>
          <w:szCs w:val="21"/>
        </w:rPr>
        <w:t>法”，具体内容详见招标文件。</w:t>
      </w:r>
    </w:p>
    <w:p w14:paraId="7BFB6926">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七、投标单位在诚信库中录入的所有信息均应真实有效，并应及时更新、完善，如未能及时更新和完善，其责任自行承担。投标单位录入虚假信息的，经查实作为失信（不良行为）行为在江苏省建设工程招标网、江苏省盐南高新区公共资源交易电子化服务平台上公告一年，在公告期间，本区内其它项目的招标人可以据此不接受其投标。</w:t>
      </w:r>
    </w:p>
    <w:p w14:paraId="6A221AC0">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八、本工程严禁挂靠、转包，一经核实挂靠、转包的，将被取消投标、中标资格，并按相关规定进行处罚，直至建议有关部门吊销资质证书。</w:t>
      </w:r>
    </w:p>
    <w:p w14:paraId="5CFB4761">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九、联系方式</w:t>
      </w:r>
    </w:p>
    <w:p w14:paraId="5D9BD9DE">
      <w:pPr>
        <w:pStyle w:val="9"/>
        <w:widowControl/>
        <w:spacing w:line="480" w:lineRule="exact"/>
        <w:ind w:firstLine="480"/>
        <w:jc w:val="both"/>
        <w:rPr>
          <w:rFonts w:hint="eastAsia" w:ascii="宋体" w:hAnsi="宋体" w:eastAsia="宋体" w:cs="宋体"/>
          <w:kern w:val="2"/>
          <w:sz w:val="21"/>
          <w:szCs w:val="21"/>
          <w:lang w:eastAsia="zh-CN"/>
        </w:rPr>
      </w:pPr>
      <w:r>
        <w:rPr>
          <w:rFonts w:hint="eastAsia" w:ascii="宋体" w:hAnsi="宋体" w:eastAsia="宋体" w:cs="宋体"/>
          <w:kern w:val="2"/>
          <w:sz w:val="21"/>
          <w:szCs w:val="21"/>
        </w:rPr>
        <w:t>招标人：</w:t>
      </w:r>
      <w:r>
        <w:rPr>
          <w:rFonts w:hint="eastAsia" w:ascii="宋体" w:hAnsi="宋体" w:eastAsia="宋体" w:cs="宋体"/>
          <w:kern w:val="2"/>
          <w:sz w:val="21"/>
          <w:szCs w:val="21"/>
          <w:lang w:eastAsia="zh-CN"/>
        </w:rPr>
        <w:t>盐城市大数据集团有限公司</w:t>
      </w:r>
    </w:p>
    <w:p w14:paraId="76E4EE3C">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联系人：</w:t>
      </w:r>
      <w:r>
        <w:rPr>
          <w:rFonts w:hint="eastAsia" w:ascii="宋体" w:hAnsi="宋体" w:eastAsia="宋体" w:cs="宋体"/>
          <w:kern w:val="2"/>
          <w:sz w:val="21"/>
          <w:szCs w:val="21"/>
          <w:lang w:val="en-US" w:eastAsia="zh-CN"/>
        </w:rPr>
        <w:t>刘</w:t>
      </w:r>
      <w:r>
        <w:rPr>
          <w:rFonts w:hint="eastAsia" w:ascii="宋体" w:hAnsi="宋体" w:eastAsia="宋体" w:cs="宋体"/>
          <w:kern w:val="2"/>
          <w:sz w:val="21"/>
          <w:szCs w:val="21"/>
        </w:rPr>
        <w:t>主任</w:t>
      </w:r>
    </w:p>
    <w:p w14:paraId="4CB92A11">
      <w:pPr>
        <w:pStyle w:val="9"/>
        <w:widowControl/>
        <w:spacing w:line="480" w:lineRule="exact"/>
        <w:ind w:firstLine="48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rPr>
        <w:t>联系电话：</w:t>
      </w:r>
      <w:r>
        <w:rPr>
          <w:rFonts w:hint="eastAsia" w:ascii="宋体" w:hAnsi="宋体" w:eastAsia="宋体" w:cs="宋体"/>
          <w:kern w:val="2"/>
          <w:sz w:val="21"/>
          <w:szCs w:val="21"/>
          <w:lang w:val="en-US" w:eastAsia="zh-CN"/>
        </w:rPr>
        <w:t>18068876608</w:t>
      </w:r>
    </w:p>
    <w:p w14:paraId="77B0E37F">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 </w:t>
      </w:r>
    </w:p>
    <w:p w14:paraId="437B3C2B">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招标代理机构：江苏仁禾中衡工程咨询房地产估价有限公司</w:t>
      </w:r>
    </w:p>
    <w:p w14:paraId="0FCE3E84">
      <w:pPr>
        <w:pStyle w:val="9"/>
        <w:widowControl/>
        <w:spacing w:line="480" w:lineRule="exact"/>
        <w:ind w:firstLine="48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rPr>
        <w:t>联系人：</w:t>
      </w:r>
      <w:r>
        <w:rPr>
          <w:rFonts w:hint="eastAsia" w:ascii="宋体" w:hAnsi="宋体" w:eastAsia="宋体" w:cs="宋体"/>
          <w:kern w:val="2"/>
          <w:sz w:val="21"/>
          <w:szCs w:val="21"/>
          <w:lang w:val="en-US" w:eastAsia="zh-CN"/>
        </w:rPr>
        <w:t>陈女士</w:t>
      </w:r>
    </w:p>
    <w:p w14:paraId="0C086A7C">
      <w:pPr>
        <w:pStyle w:val="9"/>
        <w:widowControl/>
        <w:spacing w:line="480" w:lineRule="exact"/>
        <w:ind w:firstLine="480"/>
        <w:jc w:val="both"/>
        <w:rPr>
          <w:rFonts w:ascii="宋体" w:hAnsi="宋体" w:eastAsia="宋体" w:cs="宋体"/>
          <w:kern w:val="2"/>
          <w:sz w:val="21"/>
          <w:szCs w:val="21"/>
        </w:rPr>
      </w:pPr>
      <w:r>
        <w:rPr>
          <w:rFonts w:hint="eastAsia" w:ascii="宋体" w:hAnsi="宋体" w:eastAsia="宋体" w:cs="宋体"/>
          <w:kern w:val="2"/>
          <w:sz w:val="21"/>
          <w:szCs w:val="21"/>
        </w:rPr>
        <w:t>联系电话：</w:t>
      </w:r>
      <w:r>
        <w:rPr>
          <w:rFonts w:hint="eastAsia" w:ascii="宋体" w:hAnsi="宋体" w:eastAsia="宋体" w:cs="宋体"/>
          <w:kern w:val="2"/>
          <w:sz w:val="21"/>
          <w:szCs w:val="21"/>
          <w:lang w:val="en-US" w:eastAsia="zh-CN"/>
        </w:rPr>
        <w:t>18068876608</w:t>
      </w:r>
      <w:r>
        <w:rPr>
          <w:rFonts w:hint="eastAsia" w:ascii="宋体" w:hAnsi="宋体" w:eastAsia="宋体" w:cs="宋体"/>
          <w:kern w:val="2"/>
          <w:sz w:val="21"/>
          <w:szCs w:val="21"/>
        </w:rPr>
        <w:t> </w:t>
      </w:r>
      <w:bookmarkEnd w:id="0"/>
      <w:bookmarkEnd w:id="1"/>
    </w:p>
    <w:sectPr>
      <w:pgSz w:w="11906" w:h="16838"/>
      <w:pgMar w:top="1440" w:right="1293"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Courier New"/>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GY0ZTViYWQyN2I0ZGJhNDk0OThkMjNkNmQ2MDYifQ=="/>
  </w:docVars>
  <w:rsids>
    <w:rsidRoot w:val="00B92CE9"/>
    <w:rsid w:val="00011347"/>
    <w:rsid w:val="0028688F"/>
    <w:rsid w:val="00326E42"/>
    <w:rsid w:val="00337139"/>
    <w:rsid w:val="00357124"/>
    <w:rsid w:val="004F7CED"/>
    <w:rsid w:val="0066629F"/>
    <w:rsid w:val="00677667"/>
    <w:rsid w:val="00683512"/>
    <w:rsid w:val="00687C2F"/>
    <w:rsid w:val="00793E8C"/>
    <w:rsid w:val="00842B7E"/>
    <w:rsid w:val="0091244E"/>
    <w:rsid w:val="009948E9"/>
    <w:rsid w:val="00A3064D"/>
    <w:rsid w:val="00AA7B8A"/>
    <w:rsid w:val="00B92CE9"/>
    <w:rsid w:val="00BA294F"/>
    <w:rsid w:val="00CD085C"/>
    <w:rsid w:val="00D10261"/>
    <w:rsid w:val="00DB3EA6"/>
    <w:rsid w:val="00EB03E9"/>
    <w:rsid w:val="00EC0BF2"/>
    <w:rsid w:val="00FC6E2B"/>
    <w:rsid w:val="011371EB"/>
    <w:rsid w:val="03D863CD"/>
    <w:rsid w:val="04A234ED"/>
    <w:rsid w:val="07C37E73"/>
    <w:rsid w:val="0B9C6212"/>
    <w:rsid w:val="0CB21A2B"/>
    <w:rsid w:val="0EEA05CB"/>
    <w:rsid w:val="0FBA3625"/>
    <w:rsid w:val="11CF152A"/>
    <w:rsid w:val="128561AA"/>
    <w:rsid w:val="15992C92"/>
    <w:rsid w:val="1AFA0443"/>
    <w:rsid w:val="1BCB0FDD"/>
    <w:rsid w:val="1C6E7E6B"/>
    <w:rsid w:val="1DB33095"/>
    <w:rsid w:val="1F8B6FD9"/>
    <w:rsid w:val="222A714D"/>
    <w:rsid w:val="22433956"/>
    <w:rsid w:val="270E3FFD"/>
    <w:rsid w:val="286D7229"/>
    <w:rsid w:val="2AEE3D5E"/>
    <w:rsid w:val="2BA54F2C"/>
    <w:rsid w:val="2D275D8B"/>
    <w:rsid w:val="2DC017E3"/>
    <w:rsid w:val="2F281646"/>
    <w:rsid w:val="2F842215"/>
    <w:rsid w:val="2F8E6786"/>
    <w:rsid w:val="310A0ACC"/>
    <w:rsid w:val="328604BD"/>
    <w:rsid w:val="32F32614"/>
    <w:rsid w:val="34532637"/>
    <w:rsid w:val="34845DE3"/>
    <w:rsid w:val="355B3066"/>
    <w:rsid w:val="36C607F0"/>
    <w:rsid w:val="38ED1CB6"/>
    <w:rsid w:val="39466031"/>
    <w:rsid w:val="3ACC2A8F"/>
    <w:rsid w:val="3C5D5455"/>
    <w:rsid w:val="3D747E7A"/>
    <w:rsid w:val="40B657E0"/>
    <w:rsid w:val="40E3466B"/>
    <w:rsid w:val="410776DF"/>
    <w:rsid w:val="41B158F6"/>
    <w:rsid w:val="484C4E25"/>
    <w:rsid w:val="49485026"/>
    <w:rsid w:val="4E9407BC"/>
    <w:rsid w:val="4FEB324A"/>
    <w:rsid w:val="55D43929"/>
    <w:rsid w:val="57DE642D"/>
    <w:rsid w:val="58B86DE6"/>
    <w:rsid w:val="5A4539A1"/>
    <w:rsid w:val="5F5024D2"/>
    <w:rsid w:val="648D3BB0"/>
    <w:rsid w:val="66FC2F4B"/>
    <w:rsid w:val="67033674"/>
    <w:rsid w:val="69A210DA"/>
    <w:rsid w:val="6D68053E"/>
    <w:rsid w:val="71292AB6"/>
    <w:rsid w:val="732802F7"/>
    <w:rsid w:val="742E53BE"/>
    <w:rsid w:val="759057C1"/>
    <w:rsid w:val="7B346CFF"/>
    <w:rsid w:val="7D033C1C"/>
    <w:rsid w:val="7E551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Plain Text"/>
    <w:basedOn w:val="1"/>
    <w:unhideWhenUsed/>
    <w:qFormat/>
    <w:uiPriority w:val="99"/>
    <w:rPr>
      <w:rFonts w:ascii="宋体" w:hAnsi="Courier New"/>
      <w:szCs w:val="21"/>
    </w:rPr>
  </w:style>
  <w:style w:type="paragraph" w:styleId="5">
    <w:name w:val="Body Text Indent 2"/>
    <w:basedOn w:val="1"/>
    <w:autoRedefine/>
    <w:qFormat/>
    <w:uiPriority w:val="0"/>
    <w:pPr>
      <w:spacing w:after="120" w:line="480" w:lineRule="auto"/>
      <w:ind w:left="420" w:leftChars="200"/>
    </w:pPr>
  </w:style>
  <w:style w:type="paragraph" w:styleId="6">
    <w:name w:val="footer"/>
    <w:basedOn w:val="1"/>
    <w:link w:val="25"/>
    <w:qFormat/>
    <w:uiPriority w:val="0"/>
    <w:pPr>
      <w:tabs>
        <w:tab w:val="center" w:pos="4153"/>
        <w:tab w:val="right" w:pos="8306"/>
      </w:tabs>
      <w:snapToGrid w:val="0"/>
      <w:jc w:val="left"/>
    </w:pPr>
    <w:rPr>
      <w:sz w:val="18"/>
      <w:szCs w:val="18"/>
    </w:rPr>
  </w:style>
  <w:style w:type="paragraph" w:styleId="7">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ind w:left="420" w:leftChars="200"/>
    </w:pPr>
  </w:style>
  <w:style w:type="paragraph" w:styleId="9">
    <w:name w:val="Normal (Web)"/>
    <w:basedOn w:val="1"/>
    <w:qFormat/>
    <w:uiPriority w:val="0"/>
    <w:pPr>
      <w:jc w:val="left"/>
    </w:pPr>
    <w:rPr>
      <w:rFonts w:cs="Times New Roman"/>
      <w:kern w:val="0"/>
      <w:sz w:val="24"/>
    </w:rPr>
  </w:style>
  <w:style w:type="character" w:styleId="12">
    <w:name w:val="Strong"/>
    <w:basedOn w:val="11"/>
    <w:qFormat/>
    <w:uiPriority w:val="0"/>
  </w:style>
  <w:style w:type="character" w:styleId="13">
    <w:name w:val="FollowedHyperlink"/>
    <w:basedOn w:val="11"/>
    <w:autoRedefine/>
    <w:qFormat/>
    <w:uiPriority w:val="0"/>
    <w:rPr>
      <w:color w:val="800080"/>
      <w:u w:val="none"/>
    </w:rPr>
  </w:style>
  <w:style w:type="character" w:styleId="14">
    <w:name w:val="Emphasis"/>
    <w:basedOn w:val="11"/>
    <w:autoRedefine/>
    <w:qFormat/>
    <w:uiPriority w:val="0"/>
  </w:style>
  <w:style w:type="character" w:styleId="15">
    <w:name w:val="HTML Definition"/>
    <w:basedOn w:val="11"/>
    <w:autoRedefine/>
    <w:qFormat/>
    <w:uiPriority w:val="0"/>
  </w:style>
  <w:style w:type="character" w:styleId="16">
    <w:name w:val="HTML Typewriter"/>
    <w:basedOn w:val="11"/>
    <w:qFormat/>
    <w:uiPriority w:val="0"/>
    <w:rPr>
      <w:rFonts w:hint="default" w:ascii="monospace" w:hAnsi="monospace" w:eastAsia="monospace" w:cs="monospace"/>
      <w:sz w:val="20"/>
    </w:rPr>
  </w:style>
  <w:style w:type="character" w:styleId="17">
    <w:name w:val="HTML Acronym"/>
    <w:basedOn w:val="11"/>
    <w:qFormat/>
    <w:uiPriority w:val="0"/>
  </w:style>
  <w:style w:type="character" w:styleId="18">
    <w:name w:val="HTML Variable"/>
    <w:basedOn w:val="11"/>
    <w:autoRedefine/>
    <w:qFormat/>
    <w:uiPriority w:val="0"/>
  </w:style>
  <w:style w:type="character" w:styleId="19">
    <w:name w:val="Hyperlink"/>
    <w:basedOn w:val="11"/>
    <w:qFormat/>
    <w:uiPriority w:val="0"/>
    <w:rPr>
      <w:color w:val="0000FF"/>
      <w:u w:val="none"/>
    </w:rPr>
  </w:style>
  <w:style w:type="character" w:styleId="20">
    <w:name w:val="HTML Code"/>
    <w:basedOn w:val="11"/>
    <w:qFormat/>
    <w:uiPriority w:val="0"/>
    <w:rPr>
      <w:rFonts w:hint="default" w:ascii="monospace" w:hAnsi="monospace" w:eastAsia="monospace" w:cs="monospace"/>
      <w:sz w:val="20"/>
    </w:rPr>
  </w:style>
  <w:style w:type="character" w:styleId="21">
    <w:name w:val="HTML Cite"/>
    <w:basedOn w:val="11"/>
    <w:autoRedefine/>
    <w:qFormat/>
    <w:uiPriority w:val="0"/>
  </w:style>
  <w:style w:type="character" w:styleId="22">
    <w:name w:val="HTML Keyboard"/>
    <w:basedOn w:val="11"/>
    <w:qFormat/>
    <w:uiPriority w:val="0"/>
    <w:rPr>
      <w:rFonts w:hint="default" w:ascii="monospace" w:hAnsi="monospace" w:eastAsia="monospace" w:cs="monospace"/>
      <w:sz w:val="20"/>
    </w:rPr>
  </w:style>
  <w:style w:type="character" w:styleId="23">
    <w:name w:val="HTML Sample"/>
    <w:basedOn w:val="11"/>
    <w:qFormat/>
    <w:uiPriority w:val="0"/>
    <w:rPr>
      <w:rFonts w:ascii="monospace" w:hAnsi="monospace" w:eastAsia="monospace" w:cs="monospace"/>
    </w:rPr>
  </w:style>
  <w:style w:type="character" w:customStyle="1" w:styleId="24">
    <w:name w:val="页眉 Char"/>
    <w:basedOn w:val="11"/>
    <w:link w:val="7"/>
    <w:autoRedefine/>
    <w:qFormat/>
    <w:uiPriority w:val="0"/>
    <w:rPr>
      <w:rFonts w:asciiTheme="minorHAnsi" w:hAnsiTheme="minorHAnsi" w:eastAsiaTheme="minorEastAsia" w:cstheme="minorBidi"/>
      <w:kern w:val="2"/>
      <w:sz w:val="18"/>
      <w:szCs w:val="18"/>
    </w:rPr>
  </w:style>
  <w:style w:type="character" w:customStyle="1" w:styleId="25">
    <w:name w:val="页脚 Char"/>
    <w:basedOn w:val="11"/>
    <w:link w:val="6"/>
    <w:autoRedefine/>
    <w:qFormat/>
    <w:uiPriority w:val="0"/>
    <w:rPr>
      <w:rFonts w:asciiTheme="minorHAnsi" w:hAnsiTheme="minorHAnsi" w:eastAsiaTheme="minorEastAsia" w:cstheme="minorBidi"/>
      <w:kern w:val="2"/>
      <w:sz w:val="18"/>
      <w:szCs w:val="18"/>
    </w:rPr>
  </w:style>
  <w:style w:type="character" w:customStyle="1" w:styleId="26">
    <w:name w:val="hover"/>
    <w:basedOn w:val="11"/>
    <w:autoRedefine/>
    <w:qFormat/>
    <w:uiPriority w:val="0"/>
    <w:rPr>
      <w:shd w:val="clear" w:fill="EEEEEE"/>
    </w:rPr>
  </w:style>
  <w:style w:type="character" w:customStyle="1" w:styleId="27">
    <w:name w:val="hour_am"/>
    <w:basedOn w:val="11"/>
    <w:autoRedefine/>
    <w:qFormat/>
    <w:uiPriority w:val="0"/>
  </w:style>
  <w:style w:type="character" w:customStyle="1" w:styleId="28">
    <w:name w:val="old"/>
    <w:basedOn w:val="11"/>
    <w:qFormat/>
    <w:uiPriority w:val="0"/>
    <w:rPr>
      <w:color w:val="999999"/>
    </w:rPr>
  </w:style>
  <w:style w:type="character" w:customStyle="1" w:styleId="29">
    <w:name w:val="hour_pm"/>
    <w:basedOn w:val="11"/>
    <w:qFormat/>
    <w:uiPriority w:val="0"/>
  </w:style>
  <w:style w:type="character" w:customStyle="1" w:styleId="30">
    <w:name w:val="glyphicon"/>
    <w:basedOn w:val="1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3808</Words>
  <Characters>3952</Characters>
  <Lines>35</Lines>
  <Paragraphs>9</Paragraphs>
  <TotalTime>95</TotalTime>
  <ScaleCrop>false</ScaleCrop>
  <LinksUpToDate>false</LinksUpToDate>
  <CharactersWithSpaces>3974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2023-12-26T09:29:00Z</dcterms:created>
  <dc:creator>Administrator</dc:creator>
  <cp:lastModifiedBy>月小一</cp:lastModifiedBy>
  <cp:lastPrinted>2024-07-22T02:21:00Z</cp:lastPrinted>
  <dcterms:modified xsi:type="dcterms:W3CDTF">2024-07-22T10:05:52Z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D303230DBEDA4D84A856980A4C87930B</vt:lpwstr>
  </property>
  <property fmtid="{D5CDD505-2E9C-101B-9397-08002B2CF9AE}" pid="4" name="commondata">
    <vt:lpwstr>eyJoZGlkIjoiMGJmNDBhMmE2ODRmNzA3NmRiMTAwNDI2MWMwYzczMzEifQ==</vt:lpwstr>
  </property>
</Properties>
</file>