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D927B">
      <w:pPr>
        <w:pStyle w:val="2"/>
        <w:numPr>
          <w:ilvl w:val="0"/>
          <w:numId w:val="0"/>
        </w:numPr>
        <w:spacing w:line="520" w:lineRule="exact"/>
        <w:rPr>
          <w:rFonts w:hAnsi="宋体"/>
          <w:color w:val="auto"/>
          <w:kern w:val="0"/>
          <w:highlight w:val="none"/>
        </w:rPr>
      </w:pPr>
      <w:r>
        <w:rPr>
          <w:rFonts w:hint="eastAsia" w:hAnsi="宋体"/>
          <w:color w:val="auto"/>
          <w:kern w:val="0"/>
          <w:highlight w:val="none"/>
        </w:rPr>
        <w:t xml:space="preserve"> </w:t>
      </w:r>
    </w:p>
    <w:p w14:paraId="1D8D598F">
      <w:pPr>
        <w:spacing w:line="520" w:lineRule="exact"/>
        <w:rPr>
          <w:rFonts w:ascii="宋体" w:hAnsi="宋体" w:eastAsia="宋体"/>
          <w:b/>
          <w:color w:val="auto"/>
          <w:kern w:val="0"/>
          <w:sz w:val="44"/>
          <w:szCs w:val="44"/>
          <w:highlight w:val="none"/>
        </w:rPr>
      </w:pPr>
    </w:p>
    <w:p w14:paraId="3373CB19">
      <w:pPr>
        <w:spacing w:line="360" w:lineRule="auto"/>
        <w:jc w:val="center"/>
        <w:rPr>
          <w:rFonts w:hint="eastAsia" w:ascii="宋体" w:hAnsi="宋体" w:eastAsia="宋体" w:cs="宋体"/>
          <w:b/>
          <w:bCs/>
          <w:strike/>
          <w:dstrike w:val="0"/>
          <w:color w:val="auto"/>
          <w:sz w:val="84"/>
          <w:szCs w:val="84"/>
          <w:highlight w:val="none"/>
        </w:rPr>
      </w:pPr>
      <w:r>
        <w:rPr>
          <w:rFonts w:hint="eastAsia" w:ascii="宋体" w:hAnsi="宋体" w:eastAsia="宋体" w:cs="宋体"/>
          <w:b/>
          <w:bCs/>
          <w:color w:val="auto"/>
          <w:kern w:val="0"/>
          <w:sz w:val="48"/>
          <w:szCs w:val="48"/>
          <w:highlight w:val="none"/>
          <w:lang w:eastAsia="zh-CN"/>
        </w:rPr>
        <w:t>应急工具箱采购项目</w:t>
      </w:r>
    </w:p>
    <w:p w14:paraId="7FA1DA4F">
      <w:pPr>
        <w:pStyle w:val="23"/>
        <w:ind w:left="0" w:leftChars="0" w:firstLine="0" w:firstLineChars="0"/>
        <w:rPr>
          <w:rFonts w:ascii="宋体" w:hAnsi="宋体" w:eastAsia="宋体"/>
          <w:b/>
          <w:bCs/>
          <w:color w:val="auto"/>
          <w:w w:val="90"/>
          <w:szCs w:val="32"/>
          <w:highlight w:val="none"/>
        </w:rPr>
      </w:pPr>
    </w:p>
    <w:p w14:paraId="2069AB64">
      <w:pPr>
        <w:pStyle w:val="23"/>
        <w:rPr>
          <w:rFonts w:ascii="宋体" w:hAnsi="宋体" w:eastAsia="宋体"/>
          <w:b/>
          <w:bCs/>
          <w:color w:val="auto"/>
          <w:w w:val="90"/>
          <w:szCs w:val="32"/>
          <w:highlight w:val="none"/>
        </w:rPr>
      </w:pPr>
    </w:p>
    <w:p w14:paraId="0086EF1D">
      <w:pPr>
        <w:spacing w:line="900" w:lineRule="exact"/>
        <w:rPr>
          <w:rFonts w:ascii="宋体" w:hAnsi="宋体" w:eastAsia="宋体"/>
          <w:b/>
          <w:color w:val="auto"/>
          <w:sz w:val="30"/>
          <w:szCs w:val="30"/>
          <w:highlight w:val="none"/>
        </w:rPr>
      </w:pPr>
    </w:p>
    <w:p w14:paraId="300A8A1F">
      <w:pPr>
        <w:spacing w:line="900" w:lineRule="exact"/>
        <w:jc w:val="center"/>
        <w:rPr>
          <w:rFonts w:ascii="宋体" w:hAnsi="宋体" w:eastAsia="宋体"/>
          <w:b/>
          <w:color w:val="auto"/>
          <w:sz w:val="84"/>
          <w:szCs w:val="84"/>
          <w:highlight w:val="none"/>
        </w:rPr>
      </w:pPr>
      <w:r>
        <w:rPr>
          <w:rFonts w:hint="eastAsia" w:ascii="宋体" w:hAnsi="宋体" w:eastAsia="宋体" w:cs="宋体"/>
          <w:b/>
          <w:color w:val="auto"/>
          <w:sz w:val="72"/>
          <w:szCs w:val="72"/>
          <w:highlight w:val="none"/>
          <w:lang w:val="en-US" w:eastAsia="zh-CN"/>
        </w:rPr>
        <w:t>谈判</w:t>
      </w:r>
      <w:r>
        <w:rPr>
          <w:rFonts w:hint="eastAsia" w:ascii="宋体" w:hAnsi="宋体" w:eastAsia="宋体" w:cs="宋体"/>
          <w:b/>
          <w:color w:val="auto"/>
          <w:sz w:val="72"/>
          <w:szCs w:val="72"/>
          <w:highlight w:val="none"/>
        </w:rPr>
        <w:t>文件</w:t>
      </w:r>
    </w:p>
    <w:p w14:paraId="478EC45F">
      <w:pPr>
        <w:spacing w:line="900" w:lineRule="exact"/>
        <w:jc w:val="center"/>
        <w:rPr>
          <w:rFonts w:ascii="宋体" w:hAnsi="宋体" w:eastAsia="宋体"/>
          <w:b/>
          <w:color w:val="auto"/>
          <w:sz w:val="36"/>
          <w:szCs w:val="36"/>
          <w:highlight w:val="none"/>
          <w:u w:val="single"/>
        </w:rPr>
      </w:pPr>
      <w:r>
        <w:rPr>
          <w:rFonts w:hint="eastAsia" w:ascii="宋体" w:hAnsi="宋体" w:eastAsia="宋体"/>
          <w:b/>
          <w:color w:val="auto"/>
          <w:sz w:val="36"/>
          <w:szCs w:val="36"/>
          <w:highlight w:val="none"/>
        </w:rPr>
        <w:t xml:space="preserve"> </w:t>
      </w:r>
    </w:p>
    <w:p w14:paraId="4A587968">
      <w:pPr>
        <w:numPr>
          <w:ins w:id="0" w:author="Administrator" w:date="2011-11-22T15:33:00Z"/>
        </w:numPr>
        <w:spacing w:line="900" w:lineRule="exact"/>
        <w:rPr>
          <w:rFonts w:ascii="宋体" w:hAnsi="宋体" w:eastAsia="宋体"/>
          <w:color w:val="auto"/>
          <w:highlight w:val="none"/>
          <w:u w:val="single"/>
        </w:rPr>
      </w:pPr>
    </w:p>
    <w:p w14:paraId="72AD260B">
      <w:pPr>
        <w:spacing w:line="900" w:lineRule="exact"/>
        <w:rPr>
          <w:rFonts w:ascii="宋体" w:hAnsi="宋体" w:eastAsia="宋体"/>
          <w:b/>
          <w:color w:val="auto"/>
          <w:sz w:val="30"/>
          <w:szCs w:val="30"/>
          <w:highlight w:val="none"/>
        </w:rPr>
      </w:pPr>
    </w:p>
    <w:p w14:paraId="1501B586">
      <w:pPr>
        <w:spacing w:line="900" w:lineRule="exact"/>
        <w:jc w:val="center"/>
        <w:rPr>
          <w:rFonts w:ascii="宋体" w:hAnsi="宋体" w:eastAsia="宋体"/>
          <w:b/>
          <w:color w:val="auto"/>
          <w:sz w:val="30"/>
          <w:szCs w:val="30"/>
          <w:highlight w:val="none"/>
        </w:rPr>
      </w:pPr>
      <w:r>
        <w:rPr>
          <w:rFonts w:hint="eastAsia" w:ascii="宋体" w:hAnsi="宋体" w:eastAsia="宋体" w:cs="Times New Roman"/>
          <w:b/>
          <w:color w:val="auto"/>
          <w:sz w:val="30"/>
          <w:szCs w:val="30"/>
          <w:highlight w:val="none"/>
          <w:lang w:val="en-US" w:eastAsia="zh-CN"/>
        </w:rPr>
        <w:t>招</w:t>
      </w:r>
      <w:r>
        <w:rPr>
          <w:rFonts w:hint="eastAsia" w:ascii="宋体" w:hAnsi="宋体" w:eastAsia="宋体" w:cs="Times New Roman"/>
          <w:b/>
          <w:color w:val="auto"/>
          <w:sz w:val="30"/>
          <w:szCs w:val="30"/>
          <w:highlight w:val="none"/>
        </w:rPr>
        <w:t xml:space="preserve"> </w:t>
      </w:r>
      <w:r>
        <w:rPr>
          <w:rFonts w:hint="eastAsia" w:ascii="宋体" w:hAnsi="宋体" w:eastAsia="宋体" w:cs="Times New Roman"/>
          <w:b/>
          <w:color w:val="auto"/>
          <w:sz w:val="30"/>
          <w:szCs w:val="30"/>
          <w:highlight w:val="none"/>
          <w:lang w:val="en-US" w:eastAsia="zh-CN"/>
        </w:rPr>
        <w:t xml:space="preserve"> </w:t>
      </w:r>
      <w:r>
        <w:rPr>
          <w:rFonts w:hint="eastAsia" w:ascii="宋体" w:hAnsi="宋体" w:eastAsia="宋体" w:cs="Times New Roman"/>
          <w:b/>
          <w:color w:val="auto"/>
          <w:sz w:val="30"/>
          <w:szCs w:val="30"/>
          <w:highlight w:val="none"/>
        </w:rPr>
        <w:t>标</w:t>
      </w:r>
      <w:r>
        <w:rPr>
          <w:rFonts w:hint="eastAsia" w:ascii="宋体" w:hAnsi="宋体" w:eastAsia="宋体" w:cs="Times New Roman"/>
          <w:b/>
          <w:color w:val="auto"/>
          <w:sz w:val="30"/>
          <w:szCs w:val="30"/>
          <w:highlight w:val="none"/>
          <w:lang w:val="en-US" w:eastAsia="zh-CN"/>
        </w:rPr>
        <w:t xml:space="preserve"> </w:t>
      </w:r>
      <w:r>
        <w:rPr>
          <w:rFonts w:hint="eastAsia" w:ascii="宋体" w:hAnsi="宋体" w:eastAsia="宋体" w:cs="Times New Roman"/>
          <w:b/>
          <w:color w:val="auto"/>
          <w:sz w:val="30"/>
          <w:szCs w:val="30"/>
          <w:highlight w:val="none"/>
        </w:rPr>
        <w:t xml:space="preserve"> 人</w:t>
      </w:r>
      <w:r>
        <w:rPr>
          <w:rFonts w:hint="eastAsia" w:ascii="宋体" w:hAnsi="宋体" w:eastAsia="宋体"/>
          <w:b/>
          <w:color w:val="auto"/>
          <w:sz w:val="30"/>
          <w:szCs w:val="30"/>
          <w:highlight w:val="none"/>
        </w:rPr>
        <w:t xml:space="preserve"> ：</w:t>
      </w:r>
      <w:r>
        <w:rPr>
          <w:rFonts w:hint="eastAsia" w:ascii="宋体" w:hAnsi="宋体" w:eastAsia="宋体" w:cs="Times New Roman"/>
          <w:color w:val="auto"/>
          <w:sz w:val="30"/>
          <w:szCs w:val="30"/>
          <w:highlight w:val="none"/>
          <w:u w:val="single"/>
          <w:lang w:eastAsia="zh-CN"/>
        </w:rPr>
        <w:t>盐城盐数网安科技有限公司</w:t>
      </w:r>
    </w:p>
    <w:p w14:paraId="4D388A4A">
      <w:pPr>
        <w:spacing w:line="900" w:lineRule="exact"/>
        <w:ind w:left="0" w:leftChars="0" w:firstLine="0" w:firstLineChars="0"/>
        <w:jc w:val="center"/>
        <w:rPr>
          <w:rFonts w:ascii="宋体" w:hAnsi="宋体" w:eastAsia="宋体"/>
          <w:b/>
          <w:color w:val="auto"/>
          <w:sz w:val="30"/>
          <w:szCs w:val="30"/>
          <w:highlight w:val="none"/>
          <w:u w:val="single"/>
        </w:rPr>
      </w:pPr>
      <w:r>
        <w:rPr>
          <w:rFonts w:hint="eastAsia" w:ascii="宋体" w:hAnsi="宋体" w:eastAsia="宋体"/>
          <w:b/>
          <w:color w:val="auto"/>
          <w:sz w:val="30"/>
          <w:szCs w:val="30"/>
          <w:highlight w:val="none"/>
        </w:rPr>
        <w:t>招标代理机构：</w:t>
      </w:r>
      <w:r>
        <w:rPr>
          <w:rFonts w:hint="eastAsia" w:ascii="宋体" w:hAnsi="宋体" w:eastAsia="宋体"/>
          <w:color w:val="auto"/>
          <w:sz w:val="30"/>
          <w:szCs w:val="30"/>
          <w:highlight w:val="none"/>
          <w:u w:val="single"/>
          <w:lang w:eastAsia="zh-CN"/>
        </w:rPr>
        <w:t>江苏建博工程管理咨询有限公司</w:t>
      </w:r>
    </w:p>
    <w:p w14:paraId="23BCF438">
      <w:pPr>
        <w:tabs>
          <w:tab w:val="left" w:pos="7140"/>
          <w:tab w:val="left" w:pos="7665"/>
          <w:tab w:val="left" w:pos="8190"/>
        </w:tabs>
        <w:spacing w:line="900" w:lineRule="exact"/>
        <w:jc w:val="center"/>
        <w:rPr>
          <w:rFonts w:hint="eastAsia" w:ascii="宋体" w:hAnsi="宋体" w:eastAsia="宋体"/>
          <w:b/>
          <w:bCs/>
          <w:color w:val="auto"/>
          <w:szCs w:val="32"/>
          <w:highlight w:val="none"/>
        </w:rPr>
      </w:pPr>
    </w:p>
    <w:p w14:paraId="5DD17331">
      <w:pPr>
        <w:tabs>
          <w:tab w:val="left" w:pos="7140"/>
          <w:tab w:val="left" w:pos="7665"/>
          <w:tab w:val="left" w:pos="8190"/>
        </w:tabs>
        <w:spacing w:line="900" w:lineRule="exact"/>
        <w:jc w:val="center"/>
        <w:rPr>
          <w:rFonts w:hint="eastAsia" w:ascii="宋体" w:hAnsi="宋体" w:eastAsia="宋体"/>
          <w:b/>
          <w:bCs/>
          <w:color w:val="auto"/>
          <w:szCs w:val="32"/>
          <w:highlight w:val="none"/>
        </w:rPr>
      </w:pPr>
    </w:p>
    <w:p w14:paraId="66315CFC">
      <w:pPr>
        <w:tabs>
          <w:tab w:val="left" w:pos="7140"/>
          <w:tab w:val="left" w:pos="7665"/>
          <w:tab w:val="left" w:pos="8190"/>
        </w:tabs>
        <w:spacing w:line="900" w:lineRule="exact"/>
        <w:jc w:val="center"/>
        <w:rPr>
          <w:rFonts w:ascii="宋体" w:hAnsi="宋体" w:eastAsia="宋体"/>
          <w:b/>
          <w:bCs/>
          <w:color w:val="auto"/>
          <w:sz w:val="36"/>
          <w:highlight w:val="none"/>
        </w:rPr>
      </w:pPr>
      <w:r>
        <w:rPr>
          <w:rFonts w:hint="eastAsia" w:ascii="宋体" w:hAnsi="宋体" w:eastAsia="宋体"/>
          <w:b/>
          <w:bCs/>
          <w:color w:val="auto"/>
          <w:szCs w:val="32"/>
          <w:highlight w:val="none"/>
        </w:rPr>
        <w:t>二</w:t>
      </w:r>
      <w:r>
        <w:rPr>
          <w:rFonts w:hint="eastAsia" w:ascii="宋体" w:hAnsi="宋体" w:eastAsia="宋体"/>
          <w:b/>
          <w:bCs/>
          <w:color w:val="auto"/>
          <w:szCs w:val="32"/>
          <w:highlight w:val="none"/>
          <w:lang w:val="en-US" w:eastAsia="zh-CN"/>
        </w:rPr>
        <w:t>〇</w:t>
      </w:r>
      <w:r>
        <w:rPr>
          <w:rFonts w:hint="eastAsia" w:ascii="宋体" w:hAnsi="宋体" w:eastAsia="宋体"/>
          <w:b/>
          <w:bCs/>
          <w:color w:val="auto"/>
          <w:szCs w:val="32"/>
          <w:highlight w:val="none"/>
        </w:rPr>
        <w:t>二</w:t>
      </w:r>
      <w:r>
        <w:rPr>
          <w:rFonts w:hint="eastAsia" w:ascii="宋体" w:hAnsi="宋体" w:eastAsia="宋体"/>
          <w:b/>
          <w:bCs/>
          <w:color w:val="auto"/>
          <w:szCs w:val="32"/>
          <w:highlight w:val="none"/>
          <w:lang w:val="en-US" w:eastAsia="zh-CN"/>
        </w:rPr>
        <w:t>六</w:t>
      </w:r>
      <w:r>
        <w:rPr>
          <w:rFonts w:hint="eastAsia" w:ascii="宋体" w:hAnsi="宋体" w:eastAsia="宋体"/>
          <w:b/>
          <w:bCs/>
          <w:color w:val="auto"/>
          <w:szCs w:val="32"/>
          <w:highlight w:val="none"/>
        </w:rPr>
        <w:t>年</w:t>
      </w:r>
      <w:r>
        <w:rPr>
          <w:rFonts w:hint="eastAsia" w:ascii="宋体" w:hAnsi="宋体" w:eastAsia="宋体"/>
          <w:b/>
          <w:bCs/>
          <w:color w:val="auto"/>
          <w:szCs w:val="32"/>
          <w:highlight w:val="none"/>
          <w:lang w:val="en-US" w:eastAsia="zh-CN"/>
        </w:rPr>
        <w:t>一</w:t>
      </w:r>
      <w:r>
        <w:rPr>
          <w:rFonts w:hint="eastAsia" w:ascii="宋体" w:hAnsi="宋体" w:eastAsia="宋体"/>
          <w:b/>
          <w:bCs/>
          <w:color w:val="auto"/>
          <w:szCs w:val="32"/>
          <w:highlight w:val="none"/>
        </w:rPr>
        <w:t>月</w:t>
      </w:r>
    </w:p>
    <w:p w14:paraId="2D14D157">
      <w:pPr>
        <w:spacing w:line="900" w:lineRule="exact"/>
        <w:ind w:left="49" w:firstLine="425"/>
        <w:jc w:val="center"/>
        <w:rPr>
          <w:rFonts w:hint="eastAsia" w:ascii="宋体" w:hAnsi="宋体" w:eastAsia="宋体"/>
          <w:b/>
          <w:bCs/>
          <w:color w:val="auto"/>
          <w:sz w:val="36"/>
          <w:highlight w:val="none"/>
        </w:rPr>
        <w:sectPr>
          <w:pgSz w:w="11906" w:h="16838"/>
          <w:pgMar w:top="1701" w:right="1531" w:bottom="1701" w:left="1531" w:header="851" w:footer="992" w:gutter="0"/>
          <w:pgBorders>
            <w:top w:val="none" w:sz="0" w:space="0"/>
            <w:left w:val="none" w:sz="0" w:space="0"/>
            <w:bottom w:val="none" w:sz="0" w:space="0"/>
            <w:right w:val="none" w:sz="0" w:space="0"/>
          </w:pgBorders>
          <w:pgNumType w:fmt="decimal"/>
          <w:cols w:space="720" w:num="1"/>
          <w:titlePg/>
          <w:docGrid w:linePitch="381" w:charSpace="0"/>
        </w:sectPr>
      </w:pPr>
    </w:p>
    <w:p w14:paraId="0AC39E75">
      <w:pPr>
        <w:spacing w:line="360" w:lineRule="auto"/>
        <w:jc w:val="center"/>
        <w:rPr>
          <w:rFonts w:hint="eastAsia" w:ascii="宋体" w:hAnsi="宋体" w:eastAsia="宋体" w:cs="宋体"/>
          <w:b/>
          <w:bCs/>
          <w:color w:val="auto"/>
          <w:kern w:val="0"/>
          <w:sz w:val="48"/>
          <w:szCs w:val="48"/>
          <w:highlight w:val="none"/>
          <w:lang w:val="en-US" w:eastAsia="zh-CN"/>
        </w:rPr>
      </w:pPr>
      <w:r>
        <w:rPr>
          <w:rFonts w:hint="eastAsia" w:ascii="宋体" w:hAnsi="宋体" w:eastAsia="宋体" w:cs="宋体"/>
          <w:b/>
          <w:bCs/>
          <w:color w:val="auto"/>
          <w:kern w:val="0"/>
          <w:sz w:val="48"/>
          <w:szCs w:val="48"/>
          <w:highlight w:val="none"/>
          <w:lang w:val="en-US" w:eastAsia="zh-CN"/>
        </w:rPr>
        <w:t>目 录</w:t>
      </w:r>
    </w:p>
    <w:p w14:paraId="23BDD553">
      <w:pPr>
        <w:keepNext w:val="0"/>
        <w:keepLines w:val="0"/>
        <w:pageBreakBefore w:val="0"/>
        <w:widowControl/>
        <w:tabs>
          <w:tab w:val="right" w:leader="dot" w:pos="8460"/>
        </w:tabs>
        <w:kinsoku/>
        <w:wordWrap/>
        <w:overflowPunct/>
        <w:topLinePunct w:val="0"/>
        <w:autoSpaceDE/>
        <w:autoSpaceDN/>
        <w:bidi w:val="0"/>
        <w:adjustRightInd/>
        <w:snapToGrid w:val="0"/>
        <w:spacing w:line="360" w:lineRule="auto"/>
        <w:jc w:val="left"/>
        <w:textAlignment w:val="auto"/>
        <w:rPr>
          <w:color w:val="auto"/>
          <w:highlight w:val="none"/>
        </w:rPr>
      </w:pPr>
    </w:p>
    <w:p w14:paraId="717D59A4">
      <w:pPr>
        <w:keepNext w:val="0"/>
        <w:keepLines w:val="0"/>
        <w:pageBreakBefore w:val="0"/>
        <w:widowControl/>
        <w:tabs>
          <w:tab w:val="right" w:leader="dot" w:pos="8460"/>
        </w:tabs>
        <w:kinsoku/>
        <w:wordWrap/>
        <w:overflowPunct/>
        <w:topLinePunct w:val="0"/>
        <w:autoSpaceDE/>
        <w:autoSpaceDN/>
        <w:bidi w:val="0"/>
        <w:adjustRightInd/>
        <w:snapToGrid w:val="0"/>
        <w:spacing w:line="480" w:lineRule="auto"/>
        <w:jc w:val="left"/>
        <w:textAlignment w:val="auto"/>
        <w:rPr>
          <w:rFonts w:hint="default" w:ascii="Arial" w:hAnsi="Arial" w:eastAsia="仿宋_GB2312" w:cs="Arial"/>
          <w:color w:val="auto"/>
          <w:kern w:val="0"/>
          <w:szCs w:val="21"/>
          <w:highlight w:val="none"/>
          <w:lang w:val="en-US" w:eastAsia="zh-CN"/>
        </w:rPr>
      </w:pPr>
      <w:r>
        <w:rPr>
          <w:color w:val="auto"/>
          <w:highlight w:val="none"/>
        </w:rPr>
        <w:fldChar w:fldCharType="begin"/>
      </w:r>
      <w:r>
        <w:rPr>
          <w:color w:val="auto"/>
          <w:highlight w:val="none"/>
        </w:rPr>
        <w:instrText xml:space="preserve"> HYPERLINK "file:///I:\\writeArt.aspx" \l "_Toc184635052" </w:instrText>
      </w:r>
      <w:r>
        <w:rPr>
          <w:color w:val="auto"/>
          <w:highlight w:val="none"/>
        </w:rPr>
        <w:fldChar w:fldCharType="separate"/>
      </w:r>
      <w:r>
        <w:rPr>
          <w:rFonts w:hint="eastAsia" w:ascii="Calibri" w:hAnsi="Calibri" w:cs="Arial"/>
          <w:b/>
          <w:color w:val="auto"/>
          <w:kern w:val="0"/>
          <w:highlight w:val="none"/>
          <w:lang w:val="en-US" w:eastAsia="zh-CN"/>
        </w:rPr>
        <w:t>竞争性谈判公告</w:t>
      </w:r>
      <w:r>
        <w:rPr>
          <w:rFonts w:ascii="Arial" w:hAnsi="Arial" w:cs="Arial"/>
          <w:b/>
          <w:color w:val="auto"/>
          <w:kern w:val="0"/>
          <w:highlight w:val="none"/>
        </w:rPr>
        <w:tab/>
      </w:r>
      <w:r>
        <w:rPr>
          <w:rFonts w:ascii="Arial" w:hAnsi="Arial" w:cs="Arial"/>
          <w:b/>
          <w:color w:val="auto"/>
          <w:kern w:val="0"/>
          <w:highlight w:val="none"/>
        </w:rPr>
        <w:fldChar w:fldCharType="end"/>
      </w:r>
      <w:r>
        <w:rPr>
          <w:rFonts w:hint="eastAsia" w:ascii="Arial" w:hAnsi="Arial" w:cs="Arial"/>
          <w:b/>
          <w:color w:val="auto"/>
          <w:kern w:val="0"/>
          <w:highlight w:val="none"/>
          <w:lang w:val="en-US" w:eastAsia="zh-CN"/>
        </w:rPr>
        <w:t>02</w:t>
      </w:r>
    </w:p>
    <w:p w14:paraId="03A5322E">
      <w:pPr>
        <w:keepNext w:val="0"/>
        <w:keepLines w:val="0"/>
        <w:pageBreakBefore w:val="0"/>
        <w:widowControl/>
        <w:tabs>
          <w:tab w:val="right" w:leader="dot" w:pos="8460"/>
        </w:tabs>
        <w:kinsoku/>
        <w:wordWrap/>
        <w:overflowPunct/>
        <w:topLinePunct w:val="0"/>
        <w:autoSpaceDE/>
        <w:autoSpaceDN/>
        <w:bidi w:val="0"/>
        <w:adjustRightInd/>
        <w:snapToGrid w:val="0"/>
        <w:spacing w:line="480" w:lineRule="auto"/>
        <w:jc w:val="left"/>
        <w:textAlignment w:val="auto"/>
        <w:rPr>
          <w:rFonts w:hint="eastAsia" w:ascii="Arial" w:hAnsi="Arial" w:cs="Arial"/>
          <w:b/>
          <w:color w:val="auto"/>
          <w:kern w:val="0"/>
          <w:highlight w:val="none"/>
          <w:lang w:val="en-US" w:eastAsia="zh-CN"/>
        </w:rPr>
      </w:pPr>
      <w:r>
        <w:rPr>
          <w:rFonts w:hint="eastAsia" w:ascii="Calibri" w:hAnsi="Calibri" w:cs="Arial"/>
          <w:b/>
          <w:color w:val="auto"/>
          <w:kern w:val="0"/>
          <w:highlight w:val="none"/>
          <w:lang w:val="en-US" w:eastAsia="zh-CN"/>
        </w:rPr>
        <w:fldChar w:fldCharType="begin"/>
      </w:r>
      <w:r>
        <w:rPr>
          <w:rFonts w:hint="eastAsia" w:ascii="Calibri" w:hAnsi="Calibri" w:cs="Arial"/>
          <w:b/>
          <w:color w:val="auto"/>
          <w:kern w:val="0"/>
          <w:highlight w:val="none"/>
          <w:lang w:val="en-US" w:eastAsia="zh-CN"/>
        </w:rPr>
        <w:instrText xml:space="preserve"> HYPERLINK "file:///I:\\writeArt.aspx" \l "_Toc184635051" </w:instrText>
      </w:r>
      <w:r>
        <w:rPr>
          <w:rFonts w:hint="eastAsia" w:ascii="Calibri" w:hAnsi="Calibri" w:cs="Arial"/>
          <w:b/>
          <w:color w:val="auto"/>
          <w:kern w:val="0"/>
          <w:highlight w:val="none"/>
          <w:lang w:val="en-US" w:eastAsia="zh-CN"/>
        </w:rPr>
        <w:fldChar w:fldCharType="separate"/>
      </w:r>
      <w:r>
        <w:rPr>
          <w:rFonts w:hint="eastAsia" w:ascii="Calibri" w:hAnsi="Calibri" w:cs="Arial"/>
          <w:b/>
          <w:color w:val="auto"/>
          <w:kern w:val="0"/>
          <w:highlight w:val="none"/>
          <w:lang w:val="en-US" w:eastAsia="zh-CN"/>
        </w:rPr>
        <w:t>第一部分</w:t>
      </w:r>
      <w:r>
        <w:rPr>
          <w:rFonts w:hint="eastAsia" w:ascii="Calibri" w:hAnsi="Calibri" w:cs="Arial"/>
          <w:b/>
          <w:color w:val="auto"/>
          <w:kern w:val="0"/>
          <w:highlight w:val="none"/>
          <w:lang w:val="en-US" w:eastAsia="zh-CN"/>
        </w:rPr>
        <w:fldChar w:fldCharType="end"/>
      </w:r>
      <w:r>
        <w:rPr>
          <w:color w:val="auto"/>
          <w:highlight w:val="none"/>
        </w:rPr>
        <w:fldChar w:fldCharType="begin"/>
      </w:r>
      <w:r>
        <w:rPr>
          <w:color w:val="auto"/>
          <w:highlight w:val="none"/>
        </w:rPr>
        <w:instrText xml:space="preserve"> HYPERLINK "file:///I:\\writeArt.aspx" \l "_Toc184635052" </w:instrText>
      </w:r>
      <w:r>
        <w:rPr>
          <w:color w:val="auto"/>
          <w:highlight w:val="none"/>
        </w:rPr>
        <w:fldChar w:fldCharType="separate"/>
      </w:r>
      <w:r>
        <w:rPr>
          <w:rFonts w:hint="eastAsia" w:cs="Arial"/>
          <w:b/>
          <w:color w:val="auto"/>
          <w:kern w:val="0"/>
          <w:highlight w:val="none"/>
          <w:lang w:val="en-US" w:eastAsia="zh-CN"/>
        </w:rPr>
        <w:t>投标须知</w:t>
      </w:r>
      <w:r>
        <w:rPr>
          <w:rFonts w:ascii="Arial" w:hAnsi="Arial" w:cs="Arial"/>
          <w:b/>
          <w:color w:val="auto"/>
          <w:kern w:val="0"/>
          <w:highlight w:val="none"/>
        </w:rPr>
        <w:tab/>
      </w:r>
      <w:r>
        <w:rPr>
          <w:rFonts w:ascii="Arial" w:hAnsi="Arial" w:cs="Arial"/>
          <w:b/>
          <w:color w:val="auto"/>
          <w:kern w:val="0"/>
          <w:highlight w:val="none"/>
        </w:rPr>
        <w:fldChar w:fldCharType="end"/>
      </w:r>
      <w:r>
        <w:rPr>
          <w:rFonts w:hint="eastAsia" w:ascii="Arial" w:hAnsi="Arial" w:cs="Arial"/>
          <w:b/>
          <w:color w:val="auto"/>
          <w:kern w:val="0"/>
          <w:highlight w:val="none"/>
          <w:lang w:val="en-US" w:eastAsia="zh-CN"/>
        </w:rPr>
        <w:t>06</w:t>
      </w:r>
    </w:p>
    <w:p w14:paraId="3FBEF5F4">
      <w:pPr>
        <w:keepNext w:val="0"/>
        <w:keepLines w:val="0"/>
        <w:pageBreakBefore w:val="0"/>
        <w:widowControl/>
        <w:tabs>
          <w:tab w:val="right" w:leader="dot" w:pos="8460"/>
        </w:tabs>
        <w:kinsoku/>
        <w:wordWrap/>
        <w:overflowPunct/>
        <w:topLinePunct w:val="0"/>
        <w:autoSpaceDE/>
        <w:autoSpaceDN/>
        <w:bidi w:val="0"/>
        <w:adjustRightInd/>
        <w:snapToGrid w:val="0"/>
        <w:spacing w:line="480" w:lineRule="auto"/>
        <w:jc w:val="left"/>
        <w:textAlignment w:val="auto"/>
        <w:rPr>
          <w:rFonts w:hint="default" w:ascii="Arial" w:hAnsi="Arial" w:eastAsia="仿宋_GB2312" w:cs="Arial"/>
          <w:b/>
          <w:color w:val="auto"/>
          <w:kern w:val="0"/>
          <w:highlight w:val="none"/>
          <w:lang w:val="en-US" w:eastAsia="zh-CN"/>
        </w:rPr>
      </w:pPr>
      <w:r>
        <w:rPr>
          <w:rFonts w:hint="eastAsia" w:ascii="Arial" w:hAnsi="Arial" w:cs="Arial"/>
          <w:b/>
          <w:color w:val="auto"/>
          <w:kern w:val="0"/>
          <w:highlight w:val="none"/>
          <w:lang w:val="en-US" w:eastAsia="zh-CN"/>
        </w:rPr>
        <w:t>第二部分项目需求</w:t>
      </w:r>
      <w:r>
        <w:rPr>
          <w:rFonts w:ascii="Arial" w:hAnsi="Arial" w:cs="Arial"/>
          <w:b/>
          <w:color w:val="auto"/>
          <w:kern w:val="0"/>
          <w:highlight w:val="none"/>
        </w:rPr>
        <w:tab/>
      </w:r>
      <w:r>
        <w:rPr>
          <w:rFonts w:hint="eastAsia" w:ascii="Arial" w:hAnsi="Arial" w:cs="Arial"/>
          <w:b/>
          <w:color w:val="auto"/>
          <w:kern w:val="0"/>
          <w:highlight w:val="none"/>
          <w:lang w:val="en-US" w:eastAsia="zh-CN"/>
        </w:rPr>
        <w:t>12</w:t>
      </w:r>
    </w:p>
    <w:p w14:paraId="39045D72">
      <w:pPr>
        <w:keepNext w:val="0"/>
        <w:keepLines w:val="0"/>
        <w:pageBreakBefore w:val="0"/>
        <w:widowControl/>
        <w:tabs>
          <w:tab w:val="right" w:leader="dot" w:pos="8460"/>
        </w:tabs>
        <w:kinsoku/>
        <w:wordWrap/>
        <w:overflowPunct/>
        <w:topLinePunct w:val="0"/>
        <w:autoSpaceDE/>
        <w:autoSpaceDN/>
        <w:bidi w:val="0"/>
        <w:adjustRightInd/>
        <w:snapToGrid w:val="0"/>
        <w:spacing w:line="480" w:lineRule="auto"/>
        <w:jc w:val="left"/>
        <w:textAlignment w:val="auto"/>
        <w:rPr>
          <w:rFonts w:hint="default" w:ascii="Arial" w:hAnsi="Arial" w:eastAsia="仿宋_GB2312" w:cs="Arial"/>
          <w:color w:val="auto"/>
          <w:kern w:val="0"/>
          <w:szCs w:val="21"/>
          <w:highlight w:val="none"/>
          <w:lang w:val="en-US" w:eastAsia="zh-CN"/>
        </w:rPr>
      </w:pPr>
      <w:r>
        <w:rPr>
          <w:rFonts w:hint="eastAsia" w:ascii="Calibri" w:hAnsi="Calibri" w:cs="Arial"/>
          <w:b/>
          <w:color w:val="auto"/>
          <w:kern w:val="0"/>
          <w:highlight w:val="none"/>
          <w:lang w:val="en-US" w:eastAsia="zh-CN"/>
        </w:rPr>
        <w:t>第三部分</w:t>
      </w:r>
      <w:r>
        <w:rPr>
          <w:color w:val="auto"/>
          <w:highlight w:val="none"/>
        </w:rPr>
        <w:fldChar w:fldCharType="begin"/>
      </w:r>
      <w:r>
        <w:rPr>
          <w:color w:val="auto"/>
          <w:highlight w:val="none"/>
        </w:rPr>
        <w:instrText xml:space="preserve"> HYPERLINK "file:///I:\\writeArt.aspx" \l "_Toc184635130" </w:instrText>
      </w:r>
      <w:r>
        <w:rPr>
          <w:color w:val="auto"/>
          <w:highlight w:val="none"/>
        </w:rPr>
        <w:fldChar w:fldCharType="separate"/>
      </w:r>
      <w:r>
        <w:rPr>
          <w:rFonts w:hint="eastAsia" w:cs="Arial"/>
          <w:b/>
          <w:color w:val="auto"/>
          <w:kern w:val="0"/>
          <w:highlight w:val="none"/>
          <w:lang w:val="en-US" w:eastAsia="zh-CN"/>
        </w:rPr>
        <w:t>谈判、定标</w:t>
      </w:r>
      <w:r>
        <w:rPr>
          <w:rFonts w:ascii="Arial" w:hAnsi="Arial" w:cs="Arial"/>
          <w:b/>
          <w:color w:val="auto"/>
          <w:kern w:val="0"/>
          <w:highlight w:val="none"/>
        </w:rPr>
        <w:tab/>
      </w:r>
      <w:r>
        <w:rPr>
          <w:rFonts w:ascii="Arial" w:hAnsi="Arial" w:cs="Arial"/>
          <w:b/>
          <w:color w:val="auto"/>
          <w:kern w:val="0"/>
          <w:highlight w:val="none"/>
        </w:rPr>
        <w:fldChar w:fldCharType="end"/>
      </w:r>
      <w:r>
        <w:rPr>
          <w:rFonts w:hint="eastAsia" w:ascii="Arial" w:hAnsi="Arial" w:cs="Arial"/>
          <w:b/>
          <w:color w:val="auto"/>
          <w:kern w:val="0"/>
          <w:highlight w:val="none"/>
          <w:lang w:val="en-US" w:eastAsia="zh-CN"/>
        </w:rPr>
        <w:t>15</w:t>
      </w:r>
    </w:p>
    <w:p w14:paraId="52680844">
      <w:pPr>
        <w:keepNext w:val="0"/>
        <w:keepLines w:val="0"/>
        <w:pageBreakBefore w:val="0"/>
        <w:widowControl/>
        <w:tabs>
          <w:tab w:val="right" w:leader="dot" w:pos="8460"/>
        </w:tabs>
        <w:kinsoku/>
        <w:wordWrap/>
        <w:overflowPunct/>
        <w:topLinePunct w:val="0"/>
        <w:autoSpaceDE/>
        <w:autoSpaceDN/>
        <w:bidi w:val="0"/>
        <w:adjustRightInd/>
        <w:snapToGrid w:val="0"/>
        <w:spacing w:line="480" w:lineRule="auto"/>
        <w:jc w:val="left"/>
        <w:textAlignment w:val="auto"/>
        <w:rPr>
          <w:rFonts w:hint="default" w:ascii="Arial" w:hAnsi="Arial" w:eastAsia="仿宋_GB2312" w:cs="Arial"/>
          <w:color w:val="auto"/>
          <w:kern w:val="0"/>
          <w:szCs w:val="21"/>
          <w:highlight w:val="none"/>
          <w:lang w:val="en-US" w:eastAsia="zh-CN"/>
        </w:rPr>
      </w:pPr>
      <w:r>
        <w:rPr>
          <w:color w:val="auto"/>
          <w:highlight w:val="none"/>
        </w:rPr>
        <w:fldChar w:fldCharType="begin"/>
      </w:r>
      <w:r>
        <w:rPr>
          <w:color w:val="auto"/>
          <w:highlight w:val="none"/>
        </w:rPr>
        <w:instrText xml:space="preserve"> HYPERLINK "file:///I:\\writeArt.aspx" \l "_Toc184635134" </w:instrText>
      </w:r>
      <w:r>
        <w:rPr>
          <w:color w:val="auto"/>
          <w:highlight w:val="none"/>
        </w:rPr>
        <w:fldChar w:fldCharType="separate"/>
      </w:r>
      <w:r>
        <w:rPr>
          <w:rFonts w:hint="eastAsia" w:cs="Arial"/>
          <w:b/>
          <w:color w:val="auto"/>
          <w:kern w:val="0"/>
          <w:highlight w:val="none"/>
          <w:lang w:val="en-US" w:eastAsia="zh-CN"/>
        </w:rPr>
        <w:t>附件</w:t>
      </w:r>
      <w:r>
        <w:rPr>
          <w:rFonts w:ascii="Arial" w:hAnsi="Arial" w:cs="Arial"/>
          <w:b/>
          <w:color w:val="auto"/>
          <w:kern w:val="0"/>
          <w:highlight w:val="none"/>
        </w:rPr>
        <w:tab/>
      </w:r>
      <w:r>
        <w:rPr>
          <w:rFonts w:ascii="Arial" w:hAnsi="Arial" w:cs="Arial"/>
          <w:b/>
          <w:color w:val="auto"/>
          <w:kern w:val="0"/>
          <w:highlight w:val="none"/>
        </w:rPr>
        <w:fldChar w:fldCharType="end"/>
      </w:r>
      <w:r>
        <w:rPr>
          <w:rFonts w:hint="eastAsia" w:ascii="Arial" w:hAnsi="Arial" w:cs="Arial"/>
          <w:b/>
          <w:color w:val="auto"/>
          <w:kern w:val="0"/>
          <w:highlight w:val="none"/>
          <w:lang w:val="en-US" w:eastAsia="zh-CN"/>
        </w:rPr>
        <w:t>17</w:t>
      </w:r>
    </w:p>
    <w:p w14:paraId="60CE3854">
      <w:pPr>
        <w:tabs>
          <w:tab w:val="center" w:pos="4677"/>
          <w:tab w:val="left" w:pos="7110"/>
        </w:tabs>
        <w:spacing w:after="312" w:afterLines="100" w:line="360" w:lineRule="auto"/>
        <w:jc w:val="center"/>
        <w:rPr>
          <w:rFonts w:hint="eastAsia" w:ascii="Calibri" w:hAnsi="Calibri" w:cs="Times New Roman"/>
          <w:b/>
          <w:bCs/>
          <w:color w:val="auto"/>
          <w:sz w:val="36"/>
          <w:szCs w:val="36"/>
          <w:highlight w:val="none"/>
        </w:rPr>
      </w:pPr>
    </w:p>
    <w:p w14:paraId="219210D8">
      <w:pPr>
        <w:tabs>
          <w:tab w:val="center" w:pos="4677"/>
          <w:tab w:val="left" w:pos="7110"/>
        </w:tabs>
        <w:spacing w:after="312" w:afterLines="100" w:line="360" w:lineRule="auto"/>
        <w:jc w:val="center"/>
        <w:rPr>
          <w:rFonts w:hint="eastAsia" w:ascii="Calibri" w:hAnsi="Calibri" w:cs="Times New Roman"/>
          <w:b/>
          <w:bCs/>
          <w:color w:val="auto"/>
          <w:sz w:val="36"/>
          <w:szCs w:val="36"/>
          <w:highlight w:val="none"/>
        </w:rPr>
      </w:pPr>
    </w:p>
    <w:p w14:paraId="5274D0DE">
      <w:pPr>
        <w:tabs>
          <w:tab w:val="center" w:pos="4677"/>
          <w:tab w:val="left" w:pos="7110"/>
        </w:tabs>
        <w:spacing w:after="312" w:afterLines="100" w:line="360" w:lineRule="auto"/>
        <w:jc w:val="center"/>
        <w:rPr>
          <w:rFonts w:hint="eastAsia" w:ascii="Calibri" w:hAnsi="Calibri" w:cs="Times New Roman"/>
          <w:b/>
          <w:bCs/>
          <w:color w:val="auto"/>
          <w:sz w:val="36"/>
          <w:szCs w:val="36"/>
          <w:highlight w:val="none"/>
        </w:rPr>
      </w:pPr>
    </w:p>
    <w:p w14:paraId="67A5D229">
      <w:pPr>
        <w:tabs>
          <w:tab w:val="center" w:pos="4677"/>
          <w:tab w:val="left" w:pos="7110"/>
        </w:tabs>
        <w:spacing w:after="312" w:afterLines="100" w:line="360" w:lineRule="auto"/>
        <w:jc w:val="center"/>
        <w:rPr>
          <w:rFonts w:hint="eastAsia"/>
          <w:b/>
          <w:bCs/>
          <w:color w:val="auto"/>
          <w:sz w:val="36"/>
          <w:szCs w:val="36"/>
          <w:highlight w:val="none"/>
        </w:rPr>
        <w:sectPr>
          <w:footerReference r:id="rId4" w:type="first"/>
          <w:footerReference r:id="rId3" w:type="default"/>
          <w:pgSz w:w="11906" w:h="16838"/>
          <w:pgMar w:top="1701" w:right="1531" w:bottom="1701" w:left="1531" w:header="851" w:footer="992" w:gutter="0"/>
          <w:pgBorders>
            <w:top w:val="none" w:sz="0" w:space="0"/>
            <w:left w:val="none" w:sz="0" w:space="0"/>
            <w:bottom w:val="none" w:sz="0" w:space="0"/>
            <w:right w:val="none" w:sz="0" w:space="0"/>
          </w:pgBorders>
          <w:pgNumType w:fmt="decimal" w:start="1"/>
          <w:cols w:space="720" w:num="1"/>
          <w:titlePg/>
          <w:docGrid w:linePitch="381" w:charSpace="0"/>
        </w:sectPr>
      </w:pPr>
    </w:p>
    <w:p w14:paraId="644F45F1">
      <w:pPr>
        <w:keepNext w:val="0"/>
        <w:keepLines w:val="0"/>
        <w:pageBreakBefore w:val="0"/>
        <w:widowControl w:val="0"/>
        <w:tabs>
          <w:tab w:val="center" w:pos="4677"/>
          <w:tab w:val="left" w:pos="7110"/>
        </w:tabs>
        <w:kinsoku/>
        <w:wordWrap/>
        <w:overflowPunct/>
        <w:topLinePunct w:val="0"/>
        <w:autoSpaceDE/>
        <w:autoSpaceDN/>
        <w:bidi w:val="0"/>
        <w:adjustRightInd/>
        <w:snapToGrid/>
        <w:spacing w:line="360" w:lineRule="auto"/>
        <w:jc w:val="center"/>
        <w:textAlignment w:val="auto"/>
        <w:rPr>
          <w:rFonts w:hint="default"/>
          <w:b/>
          <w:bCs/>
          <w:color w:val="auto"/>
          <w:sz w:val="36"/>
          <w:szCs w:val="36"/>
          <w:highlight w:val="none"/>
          <w:lang w:val="en-US"/>
        </w:rPr>
      </w:pPr>
      <w:r>
        <w:rPr>
          <w:rFonts w:hint="eastAsia"/>
          <w:b/>
          <w:bCs/>
          <w:color w:val="auto"/>
          <w:sz w:val="36"/>
          <w:szCs w:val="36"/>
          <w:highlight w:val="none"/>
          <w:lang w:val="en-US" w:eastAsia="zh-CN"/>
        </w:rPr>
        <w:t>竞争性谈判公告</w:t>
      </w:r>
    </w:p>
    <w:p w14:paraId="05F8583B">
      <w:pPr>
        <w:spacing w:line="500" w:lineRule="exact"/>
        <w:ind w:firstLine="44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盐城盐数网安科技有限公司负责</w:t>
      </w:r>
      <w:r>
        <w:rPr>
          <w:rFonts w:hint="eastAsia" w:ascii="宋体" w:hAnsi="宋体" w:eastAsia="宋体" w:cs="宋体"/>
          <w:color w:val="auto"/>
          <w:sz w:val="21"/>
          <w:szCs w:val="21"/>
          <w:highlight w:val="none"/>
          <w:lang w:eastAsia="zh-CN"/>
        </w:rPr>
        <w:t>实施的</w:t>
      </w:r>
      <w:r>
        <w:rPr>
          <w:rFonts w:hint="eastAsia" w:ascii="宋体" w:hAnsi="宋体" w:eastAsia="宋体" w:cs="宋体"/>
          <w:color w:val="auto"/>
          <w:sz w:val="21"/>
          <w:szCs w:val="21"/>
          <w:highlight w:val="none"/>
          <w:lang w:val="en-US" w:eastAsia="zh-CN"/>
        </w:rPr>
        <w:t>应急工具箱采购项目已具备竞争性谈判条件，项目所需资金已落实，现通过公开方式邀请潜在投标人参加本项目竞争性谈判。就有关事项公告如下：</w:t>
      </w:r>
    </w:p>
    <w:p w14:paraId="26EA20A6">
      <w:pPr>
        <w:spacing w:line="460" w:lineRule="exact"/>
        <w:ind w:firstLine="442" w:firstLineChars="200"/>
        <w:contextualSpacing/>
        <w:rPr>
          <w:rFonts w:ascii="宋体" w:hAnsi="宋体" w:eastAsia="宋体"/>
          <w:b/>
          <w:color w:val="auto"/>
          <w:sz w:val="21"/>
          <w:szCs w:val="21"/>
          <w:highlight w:val="none"/>
        </w:rPr>
      </w:pPr>
      <w:r>
        <w:rPr>
          <w:rFonts w:hint="eastAsia" w:ascii="宋体" w:hAnsi="宋体" w:eastAsia="宋体"/>
          <w:b/>
          <w:color w:val="auto"/>
          <w:sz w:val="21"/>
          <w:szCs w:val="21"/>
          <w:highlight w:val="none"/>
        </w:rPr>
        <w:t>1、</w:t>
      </w:r>
      <w:r>
        <w:rPr>
          <w:rFonts w:hint="eastAsia" w:ascii="宋体" w:hAnsi="宋体" w:eastAsia="宋体"/>
          <w:b/>
          <w:color w:val="auto"/>
          <w:sz w:val="21"/>
          <w:szCs w:val="21"/>
          <w:highlight w:val="none"/>
          <w:lang w:val="en-US" w:eastAsia="zh-CN"/>
        </w:rPr>
        <w:t>项目</w:t>
      </w:r>
      <w:r>
        <w:rPr>
          <w:rFonts w:hint="eastAsia" w:ascii="宋体" w:hAnsi="宋体" w:eastAsia="宋体"/>
          <w:b/>
          <w:color w:val="auto"/>
          <w:sz w:val="21"/>
          <w:szCs w:val="21"/>
          <w:highlight w:val="none"/>
        </w:rPr>
        <w:t>综合说明</w:t>
      </w:r>
    </w:p>
    <w:p w14:paraId="7818CF71">
      <w:pPr>
        <w:spacing w:line="460" w:lineRule="exact"/>
        <w:ind w:firstLine="442" w:firstLineChars="200"/>
        <w:contextualSpacing/>
        <w:rPr>
          <w:rFonts w:hint="eastAsia" w:ascii="宋体" w:hAnsi="宋体" w:eastAsia="宋体" w:cs="宋体"/>
          <w:color w:val="auto"/>
          <w:sz w:val="21"/>
          <w:szCs w:val="21"/>
          <w:highlight w:val="none"/>
        </w:rPr>
      </w:pPr>
      <w:r>
        <w:rPr>
          <w:rFonts w:hint="eastAsia" w:ascii="宋体" w:hAnsi="宋体" w:eastAsia="宋体"/>
          <w:color w:val="auto"/>
          <w:sz w:val="21"/>
          <w:szCs w:val="21"/>
          <w:highlight w:val="none"/>
        </w:rPr>
        <w:t>1.1</w:t>
      </w:r>
      <w:r>
        <w:rPr>
          <w:rFonts w:hint="eastAsia" w:ascii="宋体" w:hAnsi="宋体" w:eastAsia="宋体"/>
          <w:color w:val="auto"/>
          <w:sz w:val="21"/>
          <w:szCs w:val="21"/>
          <w:highlight w:val="none"/>
          <w:lang w:val="en-US" w:eastAsia="zh-CN"/>
        </w:rPr>
        <w:t>项目</w:t>
      </w:r>
      <w:r>
        <w:rPr>
          <w:rFonts w:hint="eastAsia" w:ascii="宋体" w:hAnsi="宋体" w:eastAsia="宋体"/>
          <w:color w:val="auto"/>
          <w:sz w:val="21"/>
          <w:szCs w:val="21"/>
          <w:highlight w:val="none"/>
        </w:rPr>
        <w:t>名</w:t>
      </w:r>
      <w:r>
        <w:rPr>
          <w:rFonts w:hint="eastAsia" w:ascii="宋体" w:hAnsi="宋体" w:eastAsia="宋体" w:cs="宋体"/>
          <w:color w:val="auto"/>
          <w:sz w:val="21"/>
          <w:szCs w:val="21"/>
          <w:highlight w:val="none"/>
        </w:rPr>
        <w:t>称：</w:t>
      </w:r>
      <w:r>
        <w:rPr>
          <w:rFonts w:hint="eastAsia" w:ascii="宋体" w:hAnsi="宋体" w:eastAsia="宋体" w:cs="宋体"/>
          <w:color w:val="auto"/>
          <w:sz w:val="21"/>
          <w:szCs w:val="21"/>
          <w:highlight w:val="none"/>
          <w:lang w:val="en-US" w:eastAsia="zh-CN"/>
        </w:rPr>
        <w:t>应急工具箱采购项目</w:t>
      </w:r>
      <w:r>
        <w:rPr>
          <w:rFonts w:hint="eastAsia" w:ascii="宋体" w:hAnsi="宋体" w:eastAsia="宋体" w:cs="宋体"/>
          <w:color w:val="auto"/>
          <w:sz w:val="21"/>
          <w:szCs w:val="21"/>
          <w:highlight w:val="none"/>
        </w:rPr>
        <w:t>。</w:t>
      </w:r>
    </w:p>
    <w:p w14:paraId="78430DFB">
      <w:pPr>
        <w:spacing w:line="460" w:lineRule="exact"/>
        <w:ind w:firstLine="442"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项目地点：</w:t>
      </w:r>
      <w:r>
        <w:rPr>
          <w:rFonts w:hint="eastAsia" w:ascii="宋体" w:hAnsi="宋体" w:eastAsia="宋体" w:cs="宋体"/>
          <w:color w:val="auto"/>
          <w:sz w:val="21"/>
          <w:szCs w:val="21"/>
          <w:highlight w:val="none"/>
          <w:lang w:eastAsia="zh-CN"/>
        </w:rPr>
        <w:t>盐城市</w:t>
      </w:r>
      <w:r>
        <w:rPr>
          <w:rFonts w:hint="eastAsia" w:ascii="宋体" w:hAnsi="宋体" w:eastAsia="宋体" w:cs="宋体"/>
          <w:color w:val="auto"/>
          <w:sz w:val="21"/>
          <w:szCs w:val="21"/>
          <w:highlight w:val="none"/>
          <w:lang w:val="en-US" w:eastAsia="zh-CN"/>
        </w:rPr>
        <w:t>盐南高新区</w:t>
      </w:r>
      <w:r>
        <w:rPr>
          <w:rFonts w:hint="eastAsia" w:ascii="宋体" w:hAnsi="宋体" w:eastAsia="宋体" w:cs="宋体"/>
          <w:color w:val="auto"/>
          <w:sz w:val="21"/>
          <w:szCs w:val="21"/>
          <w:highlight w:val="none"/>
        </w:rPr>
        <w:t>。</w:t>
      </w:r>
    </w:p>
    <w:p w14:paraId="10A4DE1B">
      <w:pPr>
        <w:widowControl/>
        <w:tabs>
          <w:tab w:val="left" w:pos="720"/>
        </w:tabs>
        <w:spacing w:line="460" w:lineRule="exact"/>
        <w:ind w:firstLine="442" w:firstLineChars="200"/>
        <w:contextualSpacing/>
        <w:jc w:val="left"/>
        <w:rPr>
          <w:rFonts w:ascii="宋体" w:hAnsi="宋体" w:eastAsia="宋体" w:cs="宋体"/>
          <w:color w:val="auto"/>
          <w:sz w:val="21"/>
          <w:szCs w:val="21"/>
          <w:highlight w:val="none"/>
        </w:rPr>
      </w:pPr>
      <w:r>
        <w:rPr>
          <w:rFonts w:hint="eastAsia" w:ascii="宋体" w:hAnsi="宋体" w:eastAsia="宋体"/>
          <w:color w:val="auto"/>
          <w:sz w:val="21"/>
          <w:szCs w:val="21"/>
          <w:highlight w:val="none"/>
        </w:rPr>
        <w:t>1.</w:t>
      </w:r>
      <w:r>
        <w:rPr>
          <w:rFonts w:hint="eastAsia" w:ascii="宋体" w:hAnsi="宋体" w:eastAsia="宋体"/>
          <w:color w:val="auto"/>
          <w:sz w:val="21"/>
          <w:szCs w:val="21"/>
          <w:highlight w:val="none"/>
          <w:lang w:val="en-US" w:eastAsia="zh-CN"/>
        </w:rPr>
        <w:t>3项目</w:t>
      </w:r>
      <w:r>
        <w:rPr>
          <w:rFonts w:hint="eastAsia" w:ascii="宋体" w:hAnsi="宋体" w:eastAsia="宋体" w:cs="宋体"/>
          <w:color w:val="auto"/>
          <w:sz w:val="21"/>
          <w:szCs w:val="21"/>
          <w:highlight w:val="none"/>
        </w:rPr>
        <w:t>规模：</w:t>
      </w:r>
      <w:r>
        <w:rPr>
          <w:rFonts w:hint="eastAsia" w:ascii="宋体" w:hAnsi="宋体" w:eastAsia="宋体" w:cs="宋体"/>
          <w:color w:val="auto"/>
          <w:sz w:val="21"/>
          <w:szCs w:val="21"/>
          <w:highlight w:val="none"/>
          <w:lang w:val="en-US" w:eastAsia="zh-CN"/>
        </w:rPr>
        <w:t>约27</w:t>
      </w:r>
      <w:r>
        <w:rPr>
          <w:rFonts w:hint="eastAsia" w:ascii="宋体" w:hAnsi="宋体" w:eastAsia="宋体" w:cs="宋体"/>
          <w:color w:val="auto"/>
          <w:sz w:val="21"/>
          <w:szCs w:val="21"/>
          <w:highlight w:val="none"/>
        </w:rPr>
        <w:t>万元。</w:t>
      </w:r>
    </w:p>
    <w:p w14:paraId="1FB66D7B">
      <w:pPr>
        <w:widowControl/>
        <w:tabs>
          <w:tab w:val="left" w:pos="720"/>
        </w:tabs>
        <w:spacing w:line="460" w:lineRule="exact"/>
        <w:ind w:firstLine="442" w:firstLineChars="200"/>
        <w:contextualSpacing/>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质量要求：合格。</w:t>
      </w:r>
    </w:p>
    <w:p w14:paraId="21B813FA">
      <w:pPr>
        <w:widowControl/>
        <w:tabs>
          <w:tab w:val="left" w:pos="720"/>
        </w:tabs>
        <w:spacing w:line="460" w:lineRule="exact"/>
        <w:ind w:firstLine="442" w:firstLineChars="200"/>
        <w:contextualSpacing/>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5工期要求：接到招标人通知后15日历天内完成</w:t>
      </w:r>
      <w:r>
        <w:rPr>
          <w:rFonts w:hint="eastAsia" w:ascii="宋体" w:hAnsi="宋体" w:eastAsia="宋体" w:cs="宋体"/>
          <w:color w:val="auto"/>
          <w:sz w:val="21"/>
          <w:szCs w:val="21"/>
          <w:highlight w:val="none"/>
          <w:lang w:val="en-US" w:eastAsia="zh-CN"/>
        </w:rPr>
        <w:t>，具体服从招标人要求。</w:t>
      </w:r>
    </w:p>
    <w:p w14:paraId="1867F8C1">
      <w:pPr>
        <w:spacing w:line="460" w:lineRule="exact"/>
        <w:ind w:firstLine="442" w:firstLineChars="200"/>
        <w:contextualSpacing/>
        <w:rPr>
          <w:rFonts w:ascii="宋体" w:hAnsi="宋体" w:eastAsia="宋体"/>
          <w:b/>
          <w:color w:val="auto"/>
          <w:sz w:val="21"/>
          <w:szCs w:val="21"/>
          <w:highlight w:val="none"/>
        </w:rPr>
      </w:pPr>
      <w:r>
        <w:rPr>
          <w:rFonts w:hint="eastAsia" w:ascii="宋体" w:hAnsi="宋体" w:eastAsia="宋体"/>
          <w:b/>
          <w:color w:val="auto"/>
          <w:sz w:val="21"/>
          <w:szCs w:val="21"/>
          <w:highlight w:val="none"/>
        </w:rPr>
        <w:t>2、招标方式及标段划分</w:t>
      </w:r>
    </w:p>
    <w:p w14:paraId="06B8402F">
      <w:pPr>
        <w:spacing w:line="460" w:lineRule="exact"/>
        <w:ind w:firstLine="442" w:firstLineChars="200"/>
        <w:contextualSpacing/>
        <w:rPr>
          <w:rFonts w:hint="eastAsia" w:ascii="宋体" w:hAnsi="宋体" w:eastAsia="宋体"/>
          <w:color w:val="auto"/>
          <w:sz w:val="21"/>
          <w:szCs w:val="21"/>
          <w:highlight w:val="none"/>
          <w:u w:val="single"/>
          <w:lang w:val="en-US" w:eastAsia="zh-CN"/>
        </w:rPr>
      </w:pPr>
      <w:r>
        <w:rPr>
          <w:rFonts w:hint="eastAsia" w:ascii="宋体" w:hAnsi="宋体" w:eastAsia="宋体"/>
          <w:color w:val="auto"/>
          <w:sz w:val="21"/>
          <w:szCs w:val="21"/>
          <w:highlight w:val="none"/>
        </w:rPr>
        <w:t>2.1  本</w:t>
      </w:r>
      <w:r>
        <w:rPr>
          <w:rFonts w:hint="eastAsia" w:ascii="宋体" w:hAnsi="宋体" w:eastAsia="宋体"/>
          <w:color w:val="auto"/>
          <w:sz w:val="21"/>
          <w:szCs w:val="21"/>
          <w:highlight w:val="none"/>
          <w:lang w:val="en-US" w:eastAsia="zh-CN"/>
        </w:rPr>
        <w:t>项目</w:t>
      </w:r>
      <w:r>
        <w:rPr>
          <w:rFonts w:hint="eastAsia" w:ascii="宋体" w:hAnsi="宋体" w:eastAsia="宋体"/>
          <w:color w:val="auto"/>
          <w:sz w:val="21"/>
          <w:szCs w:val="21"/>
          <w:highlight w:val="none"/>
        </w:rPr>
        <w:t>招标方式：</w:t>
      </w:r>
      <w:r>
        <w:rPr>
          <w:rFonts w:hint="eastAsia" w:ascii="宋体" w:hAnsi="宋体" w:eastAsia="宋体" w:cs="宋体"/>
          <w:color w:val="auto"/>
          <w:sz w:val="21"/>
          <w:szCs w:val="21"/>
          <w:highlight w:val="none"/>
          <w:lang w:val="en-US" w:eastAsia="zh-CN"/>
        </w:rPr>
        <w:t>谈判</w:t>
      </w:r>
    </w:p>
    <w:p w14:paraId="0E240175">
      <w:pPr>
        <w:widowControl/>
        <w:spacing w:line="460" w:lineRule="exact"/>
        <w:ind w:firstLine="438" w:firstLineChars="199"/>
        <w:contextualSpacing/>
        <w:jc w:val="left"/>
        <w:rPr>
          <w:rFonts w:ascii="宋体" w:hAnsi="宋体" w:eastAsia="宋体" w:cs="宋体"/>
          <w:bCs/>
          <w:color w:val="auto"/>
          <w:sz w:val="21"/>
          <w:szCs w:val="21"/>
          <w:highlight w:val="none"/>
        </w:rPr>
      </w:pPr>
      <w:r>
        <w:rPr>
          <w:rFonts w:hint="eastAsia" w:ascii="宋体" w:hAnsi="宋体" w:eastAsia="宋体"/>
          <w:color w:val="auto"/>
          <w:sz w:val="21"/>
          <w:szCs w:val="21"/>
          <w:highlight w:val="none"/>
        </w:rPr>
        <w:t>2.2  本次招标</w:t>
      </w:r>
      <w:r>
        <w:rPr>
          <w:rFonts w:hint="eastAsia" w:ascii="宋体" w:hAnsi="宋体" w:eastAsia="宋体"/>
          <w:color w:val="auto"/>
          <w:sz w:val="21"/>
          <w:szCs w:val="21"/>
          <w:highlight w:val="none"/>
          <w:lang w:val="en-US" w:eastAsia="zh-CN"/>
        </w:rPr>
        <w:t>项目</w:t>
      </w:r>
      <w:r>
        <w:rPr>
          <w:rFonts w:hint="eastAsia" w:ascii="宋体" w:hAnsi="宋体" w:eastAsia="宋体"/>
          <w:color w:val="auto"/>
          <w:sz w:val="21"/>
          <w:szCs w:val="21"/>
          <w:highlight w:val="none"/>
        </w:rPr>
        <w:t>为一个标段，</w:t>
      </w:r>
      <w:r>
        <w:rPr>
          <w:rFonts w:hint="eastAsia" w:ascii="宋体" w:hAnsi="宋体" w:eastAsia="宋体" w:cs="Arial"/>
          <w:bCs/>
          <w:color w:val="auto"/>
          <w:kern w:val="0"/>
          <w:sz w:val="21"/>
          <w:szCs w:val="21"/>
          <w:highlight w:val="none"/>
        </w:rPr>
        <w:t>主要招标内容如下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应急工具箱采购项目</w:t>
      </w:r>
      <w:r>
        <w:rPr>
          <w:rFonts w:hint="eastAsia" w:ascii="宋体" w:hAnsi="宋体" w:eastAsia="宋体" w:cs="宋体"/>
          <w:color w:val="auto"/>
          <w:sz w:val="21"/>
          <w:szCs w:val="21"/>
          <w:highlight w:val="none"/>
        </w:rPr>
        <w:t>,具体以招标人提供</w:t>
      </w:r>
      <w:r>
        <w:rPr>
          <w:rFonts w:hint="eastAsia" w:ascii="宋体" w:hAnsi="宋体" w:eastAsia="宋体" w:cs="宋体"/>
          <w:color w:val="auto"/>
          <w:sz w:val="21"/>
          <w:szCs w:val="21"/>
          <w:highlight w:val="none"/>
          <w:lang w:val="en-US" w:eastAsia="zh-CN"/>
        </w:rPr>
        <w:t>项目需求、报价</w:t>
      </w:r>
      <w:r>
        <w:rPr>
          <w:rFonts w:hint="eastAsia" w:ascii="宋体" w:hAnsi="宋体" w:eastAsia="宋体" w:cs="宋体"/>
          <w:color w:val="auto"/>
          <w:sz w:val="21"/>
          <w:szCs w:val="21"/>
          <w:highlight w:val="none"/>
        </w:rPr>
        <w:t>清单</w:t>
      </w:r>
      <w:r>
        <w:rPr>
          <w:rFonts w:hint="eastAsia" w:ascii="宋体" w:hAnsi="宋体" w:eastAsia="宋体" w:cs="宋体"/>
          <w:color w:val="auto"/>
          <w:sz w:val="21"/>
          <w:szCs w:val="21"/>
          <w:highlight w:val="none"/>
          <w:lang w:val="en-US" w:eastAsia="zh-CN"/>
        </w:rPr>
        <w:t>和谈判文件</w:t>
      </w:r>
      <w:r>
        <w:rPr>
          <w:rFonts w:hint="eastAsia" w:ascii="宋体" w:hAnsi="宋体" w:eastAsia="宋体" w:cs="宋体"/>
          <w:color w:val="auto"/>
          <w:sz w:val="21"/>
          <w:szCs w:val="21"/>
          <w:highlight w:val="none"/>
        </w:rPr>
        <w:t>为准。</w:t>
      </w:r>
    </w:p>
    <w:p w14:paraId="77B60C3E">
      <w:pPr>
        <w:widowControl/>
        <w:spacing w:line="460" w:lineRule="exact"/>
        <w:ind w:firstLine="438" w:firstLineChars="199"/>
        <w:contextualSpacing/>
        <w:jc w:val="left"/>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招标</w:t>
      </w:r>
      <w:r>
        <w:rPr>
          <w:rFonts w:hint="eastAsia" w:ascii="宋体" w:hAnsi="宋体" w:eastAsia="宋体" w:cs="宋体"/>
          <w:b/>
          <w:bCs/>
          <w:color w:val="auto"/>
          <w:sz w:val="21"/>
          <w:szCs w:val="21"/>
          <w:highlight w:val="none"/>
        </w:rPr>
        <w:t>人保留对上述</w:t>
      </w:r>
      <w:r>
        <w:rPr>
          <w:rFonts w:hint="eastAsia" w:ascii="宋体" w:hAnsi="宋体" w:eastAsia="宋体" w:cs="宋体"/>
          <w:b/>
          <w:bCs/>
          <w:color w:val="auto"/>
          <w:sz w:val="21"/>
          <w:szCs w:val="21"/>
          <w:highlight w:val="none"/>
          <w:lang w:val="en-US" w:eastAsia="zh-CN"/>
        </w:rPr>
        <w:t>服务内容及</w:t>
      </w:r>
      <w:r>
        <w:rPr>
          <w:rFonts w:hint="eastAsia" w:ascii="宋体" w:hAnsi="宋体" w:eastAsia="宋体" w:cs="宋体"/>
          <w:b/>
          <w:bCs/>
          <w:color w:val="auto"/>
          <w:sz w:val="21"/>
          <w:szCs w:val="21"/>
          <w:highlight w:val="none"/>
        </w:rPr>
        <w:t>范围适当调整的权利。</w:t>
      </w:r>
    </w:p>
    <w:p w14:paraId="3476CBED">
      <w:pPr>
        <w:spacing w:line="460" w:lineRule="exact"/>
        <w:ind w:firstLine="442" w:firstLineChars="200"/>
        <w:contextualSpacing/>
        <w:rPr>
          <w:rFonts w:hint="eastAsia" w:ascii="宋体" w:hAnsi="宋体" w:eastAsia="宋体" w:cs="Times New Roman"/>
          <w:color w:val="auto"/>
          <w:sz w:val="21"/>
          <w:szCs w:val="21"/>
          <w:highlight w:val="none"/>
        </w:rPr>
      </w:pPr>
      <w:r>
        <w:rPr>
          <w:rFonts w:hint="eastAsia" w:ascii="宋体" w:hAnsi="宋体" w:eastAsia="宋体"/>
          <w:b/>
          <w:color w:val="auto"/>
          <w:sz w:val="21"/>
          <w:szCs w:val="21"/>
          <w:highlight w:val="none"/>
        </w:rPr>
        <w:t>3、</w:t>
      </w:r>
      <w:r>
        <w:rPr>
          <w:rFonts w:hint="eastAsia" w:ascii="宋体" w:hAnsi="宋体" w:eastAsia="宋体" w:cs="Times New Roman"/>
          <w:b/>
          <w:bCs/>
          <w:color w:val="auto"/>
          <w:sz w:val="21"/>
          <w:szCs w:val="21"/>
          <w:highlight w:val="none"/>
        </w:rPr>
        <w:t>投标人资格要求</w:t>
      </w:r>
    </w:p>
    <w:p w14:paraId="7CDD9A6D">
      <w:pPr>
        <w:spacing w:line="460" w:lineRule="exact"/>
        <w:ind w:firstLine="442" w:firstLineChars="200"/>
        <w:contextualSpacing/>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3.1投标人资质类别和等级：投标人须为独立承担民事责任能力的在中华人民共和国境内注册的独立法人。</w:t>
      </w:r>
    </w:p>
    <w:p w14:paraId="6684505A">
      <w:pPr>
        <w:spacing w:line="460" w:lineRule="exact"/>
        <w:ind w:firstLine="442" w:firstLineChars="200"/>
        <w:contextualSpacing/>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3.2</w:t>
      </w:r>
      <w:r>
        <w:rPr>
          <w:rFonts w:hint="eastAsia" w:ascii="宋体" w:hAnsi="宋体" w:eastAsia="宋体" w:cs="Times New Roman"/>
          <w:color w:val="auto"/>
          <w:sz w:val="21"/>
          <w:szCs w:val="21"/>
          <w:highlight w:val="none"/>
        </w:rPr>
        <w:t>项目负责人要求：项目负责人必须为投标人本单位的正式职工。</w:t>
      </w:r>
    </w:p>
    <w:p w14:paraId="36B97D86">
      <w:pPr>
        <w:spacing w:line="460" w:lineRule="exact"/>
        <w:ind w:firstLine="442" w:firstLineChars="200"/>
        <w:contextualSpacing/>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3.3信誉要求：</w:t>
      </w:r>
    </w:p>
    <w:p w14:paraId="09A5250D">
      <w:pPr>
        <w:spacing w:line="460" w:lineRule="exact"/>
        <w:ind w:firstLine="442" w:firstLineChars="200"/>
        <w:contextualSpacing/>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3.3.1投标人没有被国家、江苏省省级有关部门及盐城市级有关部门暂停招投标或市场准入资格且在公示处罚期内。</w:t>
      </w:r>
    </w:p>
    <w:p w14:paraId="1C39CF0B">
      <w:pPr>
        <w:spacing w:line="460" w:lineRule="exact"/>
        <w:ind w:firstLine="442" w:firstLineChars="200"/>
        <w:contextualSpacing/>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3.3.2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资格预审申请人、投标人或者中标候选人因正被列为失信被执行人，导致其资格预审不通过或者被取消中标候选人资格、中标人资格的，不因其之后失信信息被撤销或更正而改变已经作出的决定。</w:t>
      </w:r>
    </w:p>
    <w:p w14:paraId="4126DEB4">
      <w:pPr>
        <w:spacing w:line="460" w:lineRule="exact"/>
        <w:ind w:firstLine="442" w:firstLineChars="200"/>
        <w:contextualSpacing/>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3.3.3投标人作为失信联合惩戒对象，被采取依法限制参与招投标惩戒措施的，被有关部门推送在“信用中国”、“信用江苏”、“信用盐城”相关网站公示且在有效期内的，本项目的招标人拒绝其投标，资格审查不予通过，不得被确定为中标候选人、中标人。在一次招投标活动中，资格预审申请人、投标人或者中标候选人因正被列为联合惩戒对象，导致其资格预审不通过或者被取消中标候选人资格、中标人资格的，不因其之后失信信息被撤销或更正而改变已经作出的决定。</w:t>
      </w:r>
    </w:p>
    <w:p w14:paraId="55CD6044">
      <w:pPr>
        <w:spacing w:line="460" w:lineRule="exact"/>
        <w:ind w:firstLine="442" w:firstLineChars="200"/>
        <w:contextualSpacing/>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3.4投标申请人须保证项目负责人及</w:t>
      </w:r>
      <w:r>
        <w:rPr>
          <w:rFonts w:hint="eastAsia" w:ascii="宋体" w:hAnsi="宋体" w:eastAsia="宋体" w:cs="宋体"/>
          <w:color w:val="auto"/>
          <w:sz w:val="21"/>
          <w:szCs w:val="21"/>
          <w:highlight w:val="none"/>
          <w:lang w:val="en-US" w:eastAsia="zh-CN"/>
        </w:rPr>
        <w:t>授权委托人</w:t>
      </w:r>
      <w:r>
        <w:rPr>
          <w:rFonts w:hint="eastAsia" w:ascii="宋体" w:hAnsi="宋体" w:eastAsia="宋体" w:cs="Times New Roman"/>
          <w:color w:val="auto"/>
          <w:sz w:val="21"/>
          <w:szCs w:val="21"/>
          <w:highlight w:val="none"/>
          <w:lang w:val="en-US" w:eastAsia="zh-CN"/>
        </w:rPr>
        <w:t>均为本单位的正式职工，投标时提供项目负责人及</w:t>
      </w:r>
      <w:r>
        <w:rPr>
          <w:rFonts w:hint="eastAsia" w:ascii="宋体" w:hAnsi="宋体" w:eastAsia="宋体" w:cs="宋体"/>
          <w:color w:val="auto"/>
          <w:sz w:val="21"/>
          <w:szCs w:val="21"/>
          <w:highlight w:val="none"/>
          <w:lang w:val="en-US" w:eastAsia="zh-CN"/>
        </w:rPr>
        <w:t>授权委托人</w:t>
      </w:r>
      <w:r>
        <w:rPr>
          <w:rFonts w:hint="eastAsia" w:ascii="宋体" w:hAnsi="宋体" w:eastAsia="宋体" w:cs="Times New Roman"/>
          <w:color w:val="auto"/>
          <w:sz w:val="21"/>
          <w:szCs w:val="21"/>
          <w:highlight w:val="none"/>
          <w:lang w:val="en-US" w:eastAsia="zh-CN"/>
        </w:rPr>
        <w:t>从2025年9月开始至投标截止之日当月至少1个月在本单位缴纳养老保险缴费记录证明。（退休人员提供在本单位相关证明。）</w:t>
      </w:r>
    </w:p>
    <w:p w14:paraId="04ADF02A">
      <w:pPr>
        <w:spacing w:line="460" w:lineRule="exact"/>
        <w:ind w:firstLine="442" w:firstLineChars="200"/>
        <w:contextualSpacing/>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rPr>
        <w:t>本次招标不接受联合体投标。</w:t>
      </w:r>
    </w:p>
    <w:p w14:paraId="295400EF">
      <w:pPr>
        <w:spacing w:line="460" w:lineRule="exact"/>
        <w:ind w:firstLine="442" w:firstLineChars="200"/>
        <w:contextualSpacing/>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本项目严禁挂靠、转包，一经核实挂靠、转包的，将被取消投标、中标资格，同时将对其作出相应处罚。</w:t>
      </w:r>
    </w:p>
    <w:p w14:paraId="0A8D1044">
      <w:pPr>
        <w:spacing w:line="460" w:lineRule="exact"/>
        <w:ind w:firstLine="442" w:firstLineChars="200"/>
        <w:contextualSpacing/>
        <w:rPr>
          <w:rFonts w:ascii="宋体" w:hAnsi="宋体" w:eastAsia="宋体"/>
          <w:b/>
          <w:color w:val="auto"/>
          <w:sz w:val="21"/>
          <w:szCs w:val="21"/>
          <w:highlight w:val="none"/>
        </w:rPr>
      </w:pPr>
      <w:r>
        <w:rPr>
          <w:rFonts w:hint="eastAsia" w:ascii="宋体" w:hAnsi="宋体" w:eastAsia="宋体"/>
          <w:b/>
          <w:color w:val="auto"/>
          <w:sz w:val="21"/>
          <w:szCs w:val="21"/>
          <w:highlight w:val="none"/>
          <w:lang w:val="en-US" w:eastAsia="zh-CN"/>
        </w:rPr>
        <w:t>4</w:t>
      </w:r>
      <w:r>
        <w:rPr>
          <w:rFonts w:hint="eastAsia" w:ascii="宋体" w:hAnsi="宋体" w:eastAsia="宋体"/>
          <w:b/>
          <w:color w:val="auto"/>
          <w:sz w:val="21"/>
          <w:szCs w:val="21"/>
          <w:highlight w:val="none"/>
        </w:rPr>
        <w:t>、投标保证金</w:t>
      </w:r>
    </w:p>
    <w:p w14:paraId="57211960">
      <w:pPr>
        <w:tabs>
          <w:tab w:val="left" w:pos="790"/>
        </w:tabs>
        <w:spacing w:line="460" w:lineRule="exact"/>
        <w:ind w:firstLine="442" w:firstLineChars="200"/>
        <w:contextualSpacing/>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4</w:t>
      </w:r>
      <w:r>
        <w:rPr>
          <w:rFonts w:hint="eastAsia" w:ascii="宋体" w:hAnsi="宋体" w:eastAsia="宋体"/>
          <w:color w:val="auto"/>
          <w:sz w:val="21"/>
          <w:szCs w:val="21"/>
          <w:highlight w:val="none"/>
        </w:rPr>
        <w:t>.1投标人在递交</w:t>
      </w:r>
      <w:r>
        <w:rPr>
          <w:rFonts w:hint="eastAsia" w:ascii="宋体" w:hAnsi="宋体" w:eastAsia="宋体"/>
          <w:color w:val="auto"/>
          <w:sz w:val="21"/>
          <w:szCs w:val="21"/>
          <w:highlight w:val="none"/>
          <w:lang w:eastAsia="zh-CN"/>
        </w:rPr>
        <w:t>响应文件</w:t>
      </w:r>
      <w:r>
        <w:rPr>
          <w:rFonts w:hint="eastAsia" w:ascii="宋体" w:hAnsi="宋体" w:eastAsia="宋体"/>
          <w:color w:val="auto"/>
          <w:sz w:val="21"/>
          <w:szCs w:val="21"/>
          <w:highlight w:val="none"/>
        </w:rPr>
        <w:t>的同时，应按规定的金额、形式递交投标保证金，并作为其</w:t>
      </w:r>
      <w:r>
        <w:rPr>
          <w:rFonts w:hint="eastAsia" w:ascii="宋体" w:hAnsi="宋体" w:eastAsia="宋体"/>
          <w:color w:val="auto"/>
          <w:sz w:val="21"/>
          <w:szCs w:val="21"/>
          <w:highlight w:val="none"/>
          <w:lang w:eastAsia="zh-CN"/>
        </w:rPr>
        <w:t>响应文件</w:t>
      </w:r>
      <w:r>
        <w:rPr>
          <w:rFonts w:hint="eastAsia" w:ascii="宋体" w:hAnsi="宋体" w:eastAsia="宋体"/>
          <w:color w:val="auto"/>
          <w:sz w:val="21"/>
          <w:szCs w:val="21"/>
          <w:highlight w:val="none"/>
        </w:rPr>
        <w:t>的组成部分</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lang w:val="en-US" w:eastAsia="zh-CN"/>
        </w:rPr>
        <w:t>在递交响应文件时将投标保证金或缴纳手续凭证递交给招标人</w:t>
      </w:r>
      <w:r>
        <w:rPr>
          <w:rFonts w:hint="eastAsia" w:ascii="宋体" w:hAnsi="宋体" w:eastAsia="宋体"/>
          <w:color w:val="auto"/>
          <w:sz w:val="21"/>
          <w:szCs w:val="21"/>
          <w:highlight w:val="none"/>
        </w:rPr>
        <w:t>。</w:t>
      </w:r>
    </w:p>
    <w:p w14:paraId="7EE0780A">
      <w:pPr>
        <w:tabs>
          <w:tab w:val="left" w:pos="790"/>
        </w:tabs>
        <w:spacing w:line="460" w:lineRule="exact"/>
        <w:ind w:firstLine="442" w:firstLineChars="200"/>
        <w:contextualSpacing/>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4</w:t>
      </w:r>
      <w:r>
        <w:rPr>
          <w:rFonts w:hint="eastAsia" w:ascii="宋体" w:hAnsi="宋体" w:eastAsia="宋体"/>
          <w:color w:val="auto"/>
          <w:sz w:val="21"/>
          <w:szCs w:val="21"/>
          <w:highlight w:val="none"/>
        </w:rPr>
        <w:t>.</w:t>
      </w:r>
      <w:r>
        <w:rPr>
          <w:rFonts w:ascii="宋体" w:hAnsi="宋体" w:eastAsia="宋体"/>
          <w:color w:val="auto"/>
          <w:sz w:val="21"/>
          <w:szCs w:val="21"/>
          <w:highlight w:val="none"/>
        </w:rPr>
        <w:t>2</w:t>
      </w:r>
      <w:r>
        <w:rPr>
          <w:rFonts w:hint="eastAsia" w:ascii="宋体" w:hAnsi="宋体" w:eastAsia="宋体"/>
          <w:color w:val="auto"/>
          <w:sz w:val="21"/>
          <w:szCs w:val="21"/>
          <w:highlight w:val="none"/>
        </w:rPr>
        <w:t>本</w:t>
      </w:r>
      <w:r>
        <w:rPr>
          <w:rFonts w:hint="eastAsia" w:ascii="宋体" w:hAnsi="宋体" w:eastAsia="宋体"/>
          <w:color w:val="auto"/>
          <w:sz w:val="21"/>
          <w:szCs w:val="21"/>
          <w:highlight w:val="none"/>
          <w:lang w:val="en-US" w:eastAsia="zh-CN"/>
        </w:rPr>
        <w:t>项目</w:t>
      </w:r>
      <w:r>
        <w:rPr>
          <w:rFonts w:hint="eastAsia" w:ascii="宋体" w:hAnsi="宋体" w:eastAsia="宋体"/>
          <w:color w:val="auto"/>
          <w:sz w:val="21"/>
          <w:szCs w:val="21"/>
          <w:highlight w:val="none"/>
        </w:rPr>
        <w:t>投标保证金数额为人民币</w:t>
      </w:r>
      <w:r>
        <w:rPr>
          <w:rFonts w:hint="eastAsia" w:ascii="宋体" w:hAnsi="宋体" w:eastAsia="宋体"/>
          <w:color w:val="auto"/>
          <w:sz w:val="21"/>
          <w:szCs w:val="21"/>
          <w:highlight w:val="none"/>
          <w:lang w:val="en-US" w:eastAsia="zh-CN"/>
        </w:rPr>
        <w:t>叁仟元</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rPr>
        <w:t>000</w:t>
      </w:r>
      <w:r>
        <w:rPr>
          <w:rFonts w:hint="eastAsia" w:ascii="宋体" w:hAnsi="宋体" w:eastAsia="宋体"/>
          <w:color w:val="auto"/>
          <w:sz w:val="21"/>
          <w:szCs w:val="21"/>
          <w:highlight w:val="none"/>
          <w:lang w:val="en-US" w:eastAsia="zh-CN"/>
        </w:rPr>
        <w:t>元</w:t>
      </w:r>
      <w:r>
        <w:rPr>
          <w:rFonts w:hint="eastAsia" w:ascii="宋体" w:hAnsi="宋体" w:eastAsia="宋体"/>
          <w:color w:val="auto"/>
          <w:sz w:val="21"/>
          <w:szCs w:val="21"/>
          <w:highlight w:val="none"/>
        </w:rPr>
        <w:t>）。投标人须在本</w:t>
      </w:r>
      <w:r>
        <w:rPr>
          <w:rFonts w:hint="eastAsia" w:ascii="宋体" w:hAnsi="宋体" w:eastAsia="宋体"/>
          <w:color w:val="auto"/>
          <w:sz w:val="21"/>
          <w:szCs w:val="21"/>
          <w:highlight w:val="none"/>
          <w:lang w:val="en-US" w:eastAsia="zh-CN"/>
        </w:rPr>
        <w:t>项目递交响应文件截止时间前</w:t>
      </w:r>
      <w:r>
        <w:rPr>
          <w:rFonts w:hint="eastAsia" w:ascii="宋体" w:hAnsi="宋体" w:eastAsia="宋体"/>
          <w:color w:val="auto"/>
          <w:sz w:val="21"/>
          <w:szCs w:val="21"/>
          <w:highlight w:val="none"/>
        </w:rPr>
        <w:t>办理投标保证金缴纳手续，投标保证金有效期与投标有效期一致。各投标人必须以企业法人基本存款账户办理保证金缴纳手续，否则不予接受。</w:t>
      </w:r>
    </w:p>
    <w:p w14:paraId="1DD7CFB0">
      <w:pPr>
        <w:tabs>
          <w:tab w:val="left" w:pos="790"/>
        </w:tabs>
        <w:spacing w:line="460" w:lineRule="exact"/>
        <w:ind w:firstLine="442" w:firstLineChars="200"/>
        <w:contextualSpacing/>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4.3</w:t>
      </w:r>
      <w:r>
        <w:rPr>
          <w:rFonts w:hint="eastAsia" w:ascii="宋体" w:hAnsi="宋体" w:eastAsia="宋体"/>
          <w:color w:val="auto"/>
          <w:sz w:val="21"/>
          <w:szCs w:val="21"/>
          <w:highlight w:val="none"/>
        </w:rPr>
        <w:t>投标保证金可采用</w:t>
      </w:r>
      <w:r>
        <w:rPr>
          <w:rFonts w:hint="eastAsia" w:ascii="宋体" w:hAnsi="宋体" w:eastAsia="宋体"/>
          <w:color w:val="auto"/>
          <w:sz w:val="21"/>
          <w:szCs w:val="21"/>
          <w:highlight w:val="none"/>
          <w:lang w:val="en-US" w:eastAsia="zh-CN"/>
        </w:rPr>
        <w:t>银行汇票、本票、保函、电汇、转账、银行保函、保险机构保单等</w:t>
      </w:r>
      <w:r>
        <w:rPr>
          <w:rFonts w:hint="eastAsia" w:ascii="宋体" w:hAnsi="宋体" w:eastAsia="宋体"/>
          <w:color w:val="auto"/>
          <w:sz w:val="21"/>
          <w:szCs w:val="21"/>
          <w:highlight w:val="none"/>
        </w:rPr>
        <w:t>形式，投标人根据企业实际情况合理选择投标保证金的缴纳形式，不同缴纳形式具有同等法律效力。</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rPr>
        <w:t>开户名：</w:t>
      </w:r>
      <w:r>
        <w:rPr>
          <w:rFonts w:hint="eastAsia" w:ascii="宋体" w:hAnsi="宋体" w:eastAsia="宋体"/>
          <w:color w:val="auto"/>
          <w:sz w:val="21"/>
          <w:szCs w:val="21"/>
          <w:highlight w:val="none"/>
          <w:lang w:val="en-US" w:eastAsia="zh-CN"/>
        </w:rPr>
        <w:t>盐城盐数网安科技有限公司</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rPr>
        <w:t>开户行：</w:t>
      </w:r>
      <w:r>
        <w:rPr>
          <w:rFonts w:hint="eastAsia" w:ascii="宋体" w:hAnsi="宋体" w:eastAsia="宋体"/>
          <w:color w:val="auto"/>
          <w:sz w:val="21"/>
          <w:szCs w:val="21"/>
          <w:highlight w:val="none"/>
          <w:lang w:val="en-US" w:eastAsia="zh-CN"/>
        </w:rPr>
        <w:t xml:space="preserve">中国建设银行股份有限公司盐城城南支行 </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rPr>
        <w:t>账号：32050173503800003127</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lang w:eastAsia="zh-CN"/>
        </w:rPr>
        <w:t>）</w:t>
      </w:r>
    </w:p>
    <w:p w14:paraId="51EC57FE">
      <w:pPr>
        <w:tabs>
          <w:tab w:val="left" w:pos="790"/>
        </w:tabs>
        <w:spacing w:line="460" w:lineRule="exact"/>
        <w:ind w:firstLine="442" w:firstLineChars="200"/>
        <w:contextualSpacing/>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4.3.1采用银行汇票、本票、保函、电汇、转账、银行保函、保险机构保单缴纳投标保证金的，</w:t>
      </w:r>
      <w:r>
        <w:rPr>
          <w:rFonts w:hint="eastAsia" w:ascii="宋体" w:hAnsi="宋体" w:eastAsia="宋体"/>
          <w:color w:val="auto"/>
          <w:sz w:val="21"/>
          <w:szCs w:val="21"/>
          <w:highlight w:val="none"/>
        </w:rPr>
        <w:t>投标截止时间之前，</w:t>
      </w:r>
      <w:r>
        <w:rPr>
          <w:rFonts w:hint="eastAsia" w:ascii="宋体" w:hAnsi="宋体" w:eastAsia="宋体"/>
          <w:b/>
          <w:bCs/>
          <w:color w:val="auto"/>
          <w:sz w:val="21"/>
          <w:szCs w:val="21"/>
          <w:highlight w:val="none"/>
        </w:rPr>
        <w:t>各投标人</w:t>
      </w:r>
      <w:r>
        <w:rPr>
          <w:rFonts w:hint="eastAsia" w:ascii="宋体" w:hAnsi="宋体" w:eastAsia="宋体"/>
          <w:b/>
          <w:bCs/>
          <w:color w:val="auto"/>
          <w:sz w:val="21"/>
          <w:szCs w:val="21"/>
          <w:highlight w:val="none"/>
          <w:lang w:val="en-US" w:eastAsia="zh-CN"/>
        </w:rPr>
        <w:t>可</w:t>
      </w:r>
      <w:r>
        <w:rPr>
          <w:rFonts w:hint="eastAsia" w:ascii="宋体" w:hAnsi="宋体" w:eastAsia="宋体"/>
          <w:b/>
          <w:bCs/>
          <w:color w:val="auto"/>
          <w:sz w:val="21"/>
          <w:szCs w:val="21"/>
          <w:highlight w:val="none"/>
        </w:rPr>
        <w:t>将银行汇票</w:t>
      </w:r>
      <w:r>
        <w:rPr>
          <w:rFonts w:hint="eastAsia" w:ascii="宋体" w:hAnsi="宋体" w:eastAsia="宋体"/>
          <w:b/>
          <w:bCs/>
          <w:color w:val="auto"/>
          <w:sz w:val="21"/>
          <w:szCs w:val="21"/>
          <w:highlight w:val="none"/>
          <w:lang w:val="en-US" w:eastAsia="zh-CN"/>
        </w:rPr>
        <w:t>或本票</w:t>
      </w:r>
      <w:r>
        <w:rPr>
          <w:rFonts w:hint="eastAsia" w:ascii="宋体" w:hAnsi="宋体" w:eastAsia="宋体"/>
          <w:b/>
          <w:bCs/>
          <w:color w:val="auto"/>
          <w:sz w:val="21"/>
          <w:szCs w:val="21"/>
          <w:highlight w:val="none"/>
        </w:rPr>
        <w:t>原件</w:t>
      </w:r>
      <w:r>
        <w:rPr>
          <w:rFonts w:hint="eastAsia" w:ascii="宋体" w:hAnsi="宋体" w:eastAsia="宋体"/>
          <w:b/>
          <w:bCs/>
          <w:color w:val="auto"/>
          <w:sz w:val="21"/>
          <w:szCs w:val="21"/>
          <w:highlight w:val="none"/>
          <w:lang w:val="en-US" w:eastAsia="zh-CN"/>
        </w:rPr>
        <w:t>或保函（保单）材料或电汇转账银行回执单</w:t>
      </w:r>
      <w:r>
        <w:rPr>
          <w:rFonts w:hint="eastAsia" w:ascii="宋体" w:hAnsi="宋体" w:eastAsia="宋体"/>
          <w:b/>
          <w:bCs/>
          <w:color w:val="auto"/>
          <w:sz w:val="21"/>
          <w:szCs w:val="21"/>
          <w:highlight w:val="none"/>
        </w:rPr>
        <w:t>、基本帐户的银行企业开户许可证明材料原件或复印件带至开标现场交工作人员核验</w:t>
      </w:r>
      <w:r>
        <w:rPr>
          <w:rFonts w:hint="eastAsia" w:ascii="宋体" w:hAnsi="宋体" w:eastAsia="宋体"/>
          <w:color w:val="auto"/>
          <w:sz w:val="21"/>
          <w:szCs w:val="21"/>
          <w:highlight w:val="none"/>
        </w:rPr>
        <w:t>，未按上述要求交纳投标保证金的、基本帐户的银行企业开户许可证明材料</w:t>
      </w:r>
      <w:r>
        <w:rPr>
          <w:rFonts w:hint="eastAsia" w:ascii="宋体" w:hAnsi="宋体" w:eastAsia="宋体"/>
          <w:color w:val="auto"/>
          <w:sz w:val="21"/>
          <w:szCs w:val="21"/>
          <w:highlight w:val="none"/>
          <w:lang w:val="en-US" w:eastAsia="zh-CN"/>
        </w:rPr>
        <w:t>等证明材料</w:t>
      </w:r>
      <w:r>
        <w:rPr>
          <w:rFonts w:hint="eastAsia" w:ascii="宋体" w:hAnsi="宋体" w:eastAsia="宋体"/>
          <w:color w:val="auto"/>
          <w:sz w:val="21"/>
          <w:szCs w:val="21"/>
          <w:highlight w:val="none"/>
        </w:rPr>
        <w:t>的，招标人将不予接收其</w:t>
      </w:r>
      <w:r>
        <w:rPr>
          <w:rFonts w:hint="eastAsia" w:ascii="宋体" w:hAnsi="宋体" w:eastAsia="宋体"/>
          <w:color w:val="auto"/>
          <w:sz w:val="21"/>
          <w:szCs w:val="21"/>
          <w:highlight w:val="none"/>
          <w:lang w:eastAsia="zh-CN"/>
        </w:rPr>
        <w:t>响应文件</w:t>
      </w:r>
      <w:r>
        <w:rPr>
          <w:rFonts w:hint="eastAsia" w:ascii="宋体" w:hAnsi="宋体" w:eastAsia="宋体"/>
          <w:color w:val="auto"/>
          <w:sz w:val="21"/>
          <w:szCs w:val="21"/>
          <w:highlight w:val="none"/>
        </w:rPr>
        <w:t>。</w:t>
      </w:r>
    </w:p>
    <w:p w14:paraId="264C365E">
      <w:pPr>
        <w:tabs>
          <w:tab w:val="left" w:pos="790"/>
        </w:tabs>
        <w:spacing w:line="460" w:lineRule="exact"/>
        <w:ind w:firstLine="442" w:firstLineChars="200"/>
        <w:contextualSpacing/>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4.3.2对信用服务机构依据《江苏省企业信用评价指引（试行）》（苏信用办〔2021 ] 17号）评定为AA级及以上的投标人免交投标保证金，</w:t>
      </w:r>
      <w:r>
        <w:rPr>
          <w:rFonts w:hint="eastAsia" w:ascii="宋体" w:hAnsi="宋体" w:eastAsia="宋体"/>
          <w:b/>
          <w:bCs/>
          <w:color w:val="auto"/>
          <w:sz w:val="21"/>
          <w:szCs w:val="21"/>
          <w:highlight w:val="none"/>
        </w:rPr>
        <w:t>投标截止时间之前</w:t>
      </w:r>
      <w:r>
        <w:rPr>
          <w:rFonts w:hint="eastAsia" w:ascii="宋体" w:hAnsi="宋体" w:eastAsia="宋体"/>
          <w:b/>
          <w:bCs/>
          <w:color w:val="auto"/>
          <w:sz w:val="21"/>
          <w:szCs w:val="21"/>
          <w:highlight w:val="none"/>
          <w:lang w:val="en-US" w:eastAsia="zh-CN"/>
        </w:rPr>
        <w:t>需提供第三方信用报告原件复印件</w:t>
      </w:r>
      <w:r>
        <w:rPr>
          <w:rFonts w:hint="eastAsia" w:ascii="宋体" w:hAnsi="宋体" w:eastAsia="宋体"/>
          <w:b/>
          <w:bCs/>
          <w:color w:val="auto"/>
          <w:sz w:val="21"/>
          <w:szCs w:val="21"/>
          <w:highlight w:val="none"/>
        </w:rPr>
        <w:t>至开标现场交工作人员核验</w:t>
      </w:r>
      <w:r>
        <w:rPr>
          <w:rFonts w:hint="eastAsia" w:ascii="宋体" w:hAnsi="宋体" w:eastAsia="宋体"/>
          <w:color w:val="auto"/>
          <w:sz w:val="21"/>
          <w:szCs w:val="21"/>
          <w:highlight w:val="none"/>
          <w:lang w:val="en-US" w:eastAsia="zh-CN"/>
        </w:rPr>
        <w:t>，且信用报告概述页等内容通过“信用盐城网”可查证。</w:t>
      </w:r>
    </w:p>
    <w:p w14:paraId="04B14756">
      <w:pPr>
        <w:tabs>
          <w:tab w:val="left" w:pos="790"/>
        </w:tabs>
        <w:spacing w:line="460" w:lineRule="exact"/>
        <w:ind w:firstLine="442" w:firstLineChars="200"/>
        <w:contextualSpacing/>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4.3.3信用承诺替代投标保证金。本项目接受投标人以“投标保证金信用承诺函”方式替代投标保证金，</w:t>
      </w:r>
      <w:r>
        <w:rPr>
          <w:rFonts w:hint="eastAsia" w:ascii="宋体" w:hAnsi="宋体" w:eastAsia="宋体"/>
          <w:b/>
          <w:bCs/>
          <w:color w:val="auto"/>
          <w:sz w:val="21"/>
          <w:szCs w:val="21"/>
          <w:highlight w:val="none"/>
          <w:lang w:val="en-US" w:eastAsia="zh-CN"/>
        </w:rPr>
        <w:t>投标保证金信用承诺函在</w:t>
      </w:r>
      <w:r>
        <w:rPr>
          <w:rFonts w:hint="eastAsia" w:ascii="宋体" w:hAnsi="宋体" w:eastAsia="宋体"/>
          <w:b/>
          <w:bCs/>
          <w:color w:val="auto"/>
          <w:sz w:val="21"/>
          <w:szCs w:val="21"/>
          <w:highlight w:val="none"/>
        </w:rPr>
        <w:t>投标截止时间之前</w:t>
      </w:r>
      <w:r>
        <w:rPr>
          <w:rFonts w:hint="eastAsia" w:ascii="宋体" w:hAnsi="宋体" w:eastAsia="宋体"/>
          <w:b/>
          <w:bCs/>
          <w:color w:val="auto"/>
          <w:sz w:val="21"/>
          <w:szCs w:val="21"/>
          <w:highlight w:val="none"/>
          <w:lang w:val="en-US" w:eastAsia="zh-CN"/>
        </w:rPr>
        <w:t>需提供投标保证金信用承诺函原件</w:t>
      </w:r>
      <w:r>
        <w:rPr>
          <w:rFonts w:hint="eastAsia" w:ascii="宋体" w:hAnsi="宋体" w:eastAsia="宋体"/>
          <w:b/>
          <w:bCs/>
          <w:color w:val="auto"/>
          <w:sz w:val="21"/>
          <w:szCs w:val="21"/>
          <w:highlight w:val="none"/>
        </w:rPr>
        <w:t>至开标现场交工作人员核验</w:t>
      </w:r>
      <w:r>
        <w:rPr>
          <w:rFonts w:hint="eastAsia" w:ascii="宋体" w:hAnsi="宋体" w:eastAsia="宋体"/>
          <w:color w:val="auto"/>
          <w:sz w:val="21"/>
          <w:szCs w:val="21"/>
          <w:highlight w:val="none"/>
          <w:lang w:val="en-US" w:eastAsia="zh-CN"/>
        </w:rPr>
        <w:t>，除法定例外情况，在有效期内(提交响应文件截止时间后到招标文件规定投标有效期终止前)不得撤销撤回(投标保证金信用承诺函参照附件A)。</w:t>
      </w:r>
    </w:p>
    <w:p w14:paraId="24C2758C">
      <w:pPr>
        <w:tabs>
          <w:tab w:val="left" w:pos="790"/>
        </w:tabs>
        <w:spacing w:line="460" w:lineRule="exact"/>
        <w:ind w:firstLine="442" w:firstLineChars="200"/>
        <w:contextualSpacing/>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采用投标保证金信用承诺替代投标保证金的投标人需信用良好，其中以联合体形式投标并采用信用承诺函替代投标保证金的，联合体各成员均须出具投标保证金信用承诺函。</w:t>
      </w:r>
    </w:p>
    <w:p w14:paraId="253B8EBE">
      <w:pPr>
        <w:tabs>
          <w:tab w:val="left" w:pos="790"/>
        </w:tabs>
        <w:spacing w:line="460" w:lineRule="exact"/>
        <w:ind w:firstLine="442" w:firstLineChars="200"/>
        <w:contextualSpacing/>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在我市公共资源交易领域存在履约不良行为，并在被记录有效期内的投标人，自动丧失在全市建设项目招投标中使用“投标保证金信用承诺函”资格，全市建设项目招标人均可拒绝接受其使用“投标保证金信用承诺函”。</w:t>
      </w:r>
    </w:p>
    <w:p w14:paraId="1B31427F">
      <w:pPr>
        <w:tabs>
          <w:tab w:val="left" w:pos="790"/>
        </w:tabs>
        <w:spacing w:line="460" w:lineRule="exact"/>
        <w:ind w:firstLine="442" w:firstLineChars="200"/>
        <w:contextualSpacing/>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采用信用承诺替代投标保证金的，不免除投标人违法、违规、违约责任的义务。</w:t>
      </w:r>
    </w:p>
    <w:p w14:paraId="46C17F27">
      <w:pPr>
        <w:tabs>
          <w:tab w:val="left" w:pos="790"/>
        </w:tabs>
        <w:spacing w:line="460" w:lineRule="exact"/>
        <w:ind w:firstLine="442" w:firstLineChars="200"/>
        <w:contextualSpacing/>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4.3.4</w:t>
      </w:r>
      <w:r>
        <w:rPr>
          <w:rFonts w:hint="eastAsia" w:ascii="宋体" w:hAnsi="宋体" w:eastAsia="宋体"/>
          <w:color w:val="auto"/>
          <w:sz w:val="21"/>
          <w:szCs w:val="21"/>
          <w:highlight w:val="none"/>
        </w:rPr>
        <w:t>未按上述要求交纳投标保证金的，经评标委员会认定后，其</w:t>
      </w:r>
      <w:r>
        <w:rPr>
          <w:rFonts w:hint="eastAsia" w:ascii="宋体" w:hAnsi="宋体" w:eastAsia="宋体"/>
          <w:color w:val="auto"/>
          <w:sz w:val="21"/>
          <w:szCs w:val="21"/>
          <w:highlight w:val="none"/>
          <w:lang w:eastAsia="zh-CN"/>
        </w:rPr>
        <w:t>响应文件</w:t>
      </w:r>
      <w:r>
        <w:rPr>
          <w:rFonts w:hint="eastAsia" w:ascii="宋体" w:hAnsi="宋体" w:eastAsia="宋体"/>
          <w:color w:val="auto"/>
          <w:sz w:val="21"/>
          <w:szCs w:val="21"/>
          <w:highlight w:val="none"/>
        </w:rPr>
        <w:t>为无效</w:t>
      </w:r>
      <w:r>
        <w:rPr>
          <w:rFonts w:hint="eastAsia" w:ascii="宋体" w:hAnsi="宋体" w:eastAsia="宋体"/>
          <w:color w:val="auto"/>
          <w:sz w:val="21"/>
          <w:szCs w:val="21"/>
          <w:highlight w:val="none"/>
          <w:lang w:eastAsia="zh-CN"/>
        </w:rPr>
        <w:t>响应文件</w:t>
      </w:r>
      <w:r>
        <w:rPr>
          <w:rFonts w:hint="eastAsia" w:ascii="宋体" w:hAnsi="宋体" w:eastAsia="宋体"/>
          <w:color w:val="auto"/>
          <w:sz w:val="21"/>
          <w:szCs w:val="21"/>
          <w:highlight w:val="none"/>
        </w:rPr>
        <w:t>。</w:t>
      </w:r>
    </w:p>
    <w:p w14:paraId="02E5C6C4">
      <w:pPr>
        <w:tabs>
          <w:tab w:val="left" w:pos="790"/>
        </w:tabs>
        <w:spacing w:line="460" w:lineRule="exact"/>
        <w:ind w:firstLine="442" w:firstLineChars="200"/>
        <w:contextualSpacing/>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特别提醒：以个人、企业的办事处、分公司、子公司名义或从他人账户、投标人企业的其他账户缴纳的投标保证金无效。</w:t>
      </w:r>
    </w:p>
    <w:p w14:paraId="355E485B">
      <w:pPr>
        <w:tabs>
          <w:tab w:val="left" w:pos="790"/>
        </w:tabs>
        <w:spacing w:line="460" w:lineRule="exact"/>
        <w:ind w:firstLine="442" w:firstLineChars="200"/>
        <w:contextualSpacing/>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4.4投标保证金的退还：</w:t>
      </w:r>
    </w:p>
    <w:p w14:paraId="24E3916D">
      <w:pPr>
        <w:tabs>
          <w:tab w:val="left" w:pos="790"/>
        </w:tabs>
        <w:spacing w:line="460" w:lineRule="exact"/>
        <w:ind w:firstLine="442" w:firstLineChars="200"/>
        <w:contextualSpacing/>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有投诉(异议)的项目，所有</w:t>
      </w:r>
      <w:r>
        <w:rPr>
          <w:rFonts w:hint="eastAsia" w:ascii="宋体" w:hAnsi="宋体" w:eastAsia="宋体"/>
          <w:color w:val="auto"/>
          <w:sz w:val="21"/>
          <w:szCs w:val="21"/>
          <w:highlight w:val="none"/>
        </w:rPr>
        <w:t>投标人投标保证金一律暂不退还。</w:t>
      </w:r>
    </w:p>
    <w:p w14:paraId="57B2A6ED">
      <w:pPr>
        <w:tabs>
          <w:tab w:val="left" w:pos="790"/>
        </w:tabs>
        <w:spacing w:line="460" w:lineRule="exact"/>
        <w:ind w:firstLine="442" w:firstLineChars="200"/>
        <w:contextualSpacing/>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因恶意投诉（异议）的、利用保密信息投诉的及投诉（异议）不实的投诉行为被通报的，自通报之日起6个月内，投诉（异议）人所有投标项目的投标保证金在招标项目签订合同后予以退还。</w:t>
      </w:r>
    </w:p>
    <w:p w14:paraId="6CF00448">
      <w:pPr>
        <w:tabs>
          <w:tab w:val="left" w:pos="790"/>
        </w:tabs>
        <w:spacing w:line="460" w:lineRule="exact"/>
        <w:ind w:firstLine="442" w:firstLineChars="200"/>
        <w:contextualSpacing/>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投诉人故意捏造事实、伪造证明材料或者以非法手段取得证明材料进行投诉的给他人造成的损失的，投诉人依法承担赔偿责任。招标人直接扣减相应数额，确认应予退还保证金的数额，并经监管机关存档后，办理退款手续。</w:t>
      </w:r>
    </w:p>
    <w:p w14:paraId="6E50D702">
      <w:pPr>
        <w:tabs>
          <w:tab w:val="left" w:pos="790"/>
        </w:tabs>
        <w:spacing w:line="460" w:lineRule="exact"/>
        <w:ind w:firstLine="442" w:firstLineChars="200"/>
        <w:contextualSpacing/>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4</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5</w:t>
      </w:r>
      <w:r>
        <w:rPr>
          <w:rFonts w:hint="eastAsia" w:ascii="宋体" w:hAnsi="宋体" w:eastAsia="宋体"/>
          <w:color w:val="auto"/>
          <w:sz w:val="21"/>
          <w:szCs w:val="21"/>
          <w:highlight w:val="none"/>
        </w:rPr>
        <w:t>保证金退还时间：</w:t>
      </w:r>
    </w:p>
    <w:p w14:paraId="45797806">
      <w:pPr>
        <w:tabs>
          <w:tab w:val="left" w:pos="790"/>
        </w:tabs>
        <w:spacing w:line="460" w:lineRule="exact"/>
        <w:ind w:firstLine="442" w:firstLineChars="200"/>
        <w:contextualSpacing/>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如无投诉等特殊情况，</w:t>
      </w:r>
      <w:r>
        <w:rPr>
          <w:rFonts w:hint="eastAsia" w:ascii="宋体" w:hAnsi="宋体" w:eastAsia="宋体"/>
          <w:color w:val="auto"/>
          <w:sz w:val="21"/>
          <w:szCs w:val="21"/>
          <w:highlight w:val="none"/>
          <w:lang w:val="en-US" w:eastAsia="zh-CN"/>
        </w:rPr>
        <w:t>评标结束</w:t>
      </w:r>
      <w:r>
        <w:rPr>
          <w:rFonts w:hint="eastAsia" w:ascii="宋体" w:hAnsi="宋体" w:eastAsia="宋体"/>
          <w:color w:val="auto"/>
          <w:sz w:val="21"/>
          <w:szCs w:val="21"/>
          <w:highlight w:val="none"/>
        </w:rPr>
        <w:t>后7个工作日内，退还非中标人的投标保证金。中标人投标保证金在</w:t>
      </w:r>
      <w:r>
        <w:rPr>
          <w:rFonts w:hint="eastAsia" w:ascii="宋体" w:hAnsi="宋体" w:eastAsia="宋体"/>
          <w:color w:val="auto"/>
          <w:sz w:val="21"/>
          <w:szCs w:val="21"/>
          <w:highlight w:val="none"/>
          <w:lang w:val="en-US" w:eastAsia="zh-CN"/>
        </w:rPr>
        <w:t>缴纳合同签订</w:t>
      </w:r>
      <w:r>
        <w:rPr>
          <w:rFonts w:hint="eastAsia" w:ascii="宋体" w:hAnsi="宋体" w:eastAsia="宋体"/>
          <w:color w:val="auto"/>
          <w:sz w:val="21"/>
          <w:szCs w:val="21"/>
          <w:highlight w:val="none"/>
        </w:rPr>
        <w:t>后无息退还。</w:t>
      </w:r>
    </w:p>
    <w:p w14:paraId="4ADD9EEC">
      <w:pPr>
        <w:tabs>
          <w:tab w:val="left" w:pos="790"/>
        </w:tabs>
        <w:spacing w:line="460" w:lineRule="exact"/>
        <w:ind w:firstLine="442" w:firstLineChars="200"/>
        <w:contextualSpacing/>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4</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6</w:t>
      </w:r>
      <w:r>
        <w:rPr>
          <w:rFonts w:hint="eastAsia" w:ascii="宋体" w:hAnsi="宋体" w:eastAsia="宋体"/>
          <w:color w:val="auto"/>
          <w:sz w:val="21"/>
          <w:szCs w:val="21"/>
          <w:highlight w:val="none"/>
        </w:rPr>
        <w:t xml:space="preserve">有下列情形之一的，投标保证金将不予退还： </w:t>
      </w:r>
    </w:p>
    <w:p w14:paraId="5196AB74">
      <w:pPr>
        <w:tabs>
          <w:tab w:val="left" w:pos="790"/>
        </w:tabs>
        <w:spacing w:line="460" w:lineRule="exact"/>
        <w:ind w:firstLine="442" w:firstLineChars="200"/>
        <w:contextualSpacing/>
        <w:rPr>
          <w:rFonts w:hint="eastAsia" w:ascii="宋体" w:hAnsi="宋体" w:eastAsia="宋体"/>
          <w:color w:val="auto"/>
          <w:sz w:val="21"/>
          <w:szCs w:val="21"/>
          <w:highlight w:val="none"/>
        </w:rPr>
      </w:pPr>
      <w:r>
        <w:rPr>
          <w:rFonts w:hint="eastAsia" w:ascii="宋体" w:hAnsi="宋体" w:eastAsia="宋体"/>
          <w:color w:val="auto"/>
          <w:sz w:val="21"/>
          <w:szCs w:val="21"/>
          <w:highlight w:val="none"/>
        </w:rPr>
        <w:t>①投标人在规定的投标有效期内撤销或修改其</w:t>
      </w:r>
      <w:r>
        <w:rPr>
          <w:rFonts w:hint="eastAsia" w:ascii="宋体" w:hAnsi="宋体" w:eastAsia="宋体"/>
          <w:color w:val="auto"/>
          <w:sz w:val="21"/>
          <w:szCs w:val="21"/>
          <w:highlight w:val="none"/>
          <w:lang w:eastAsia="zh-CN"/>
        </w:rPr>
        <w:t>响应文件</w:t>
      </w:r>
      <w:r>
        <w:rPr>
          <w:rFonts w:hint="eastAsia" w:ascii="宋体" w:hAnsi="宋体" w:eastAsia="宋体"/>
          <w:color w:val="auto"/>
          <w:sz w:val="21"/>
          <w:szCs w:val="21"/>
          <w:highlight w:val="none"/>
        </w:rPr>
        <w:t>的；</w:t>
      </w:r>
    </w:p>
    <w:p w14:paraId="72C03BF5">
      <w:pPr>
        <w:tabs>
          <w:tab w:val="left" w:pos="790"/>
        </w:tabs>
        <w:spacing w:line="460" w:lineRule="exact"/>
        <w:ind w:firstLine="442" w:firstLineChars="200"/>
        <w:contextualSpacing/>
        <w:rPr>
          <w:rFonts w:hint="eastAsia" w:ascii="宋体" w:hAnsi="宋体" w:eastAsia="宋体"/>
          <w:color w:val="auto"/>
          <w:sz w:val="21"/>
          <w:szCs w:val="21"/>
          <w:highlight w:val="none"/>
        </w:rPr>
      </w:pPr>
      <w:r>
        <w:rPr>
          <w:rFonts w:hint="eastAsia" w:ascii="宋体" w:hAnsi="宋体" w:eastAsia="宋体"/>
          <w:color w:val="auto"/>
          <w:sz w:val="21"/>
          <w:szCs w:val="21"/>
          <w:highlight w:val="none"/>
        </w:rPr>
        <w:t>②中标人无正当理由拒绝签订合同；</w:t>
      </w:r>
    </w:p>
    <w:p w14:paraId="4F70B8F1">
      <w:pPr>
        <w:tabs>
          <w:tab w:val="left" w:pos="790"/>
        </w:tabs>
        <w:spacing w:line="460" w:lineRule="exact"/>
        <w:ind w:firstLine="442" w:firstLineChars="200"/>
        <w:contextualSpacing/>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③中标人弄虚作假骗取中标，其他投标虚假、恶意投诉或反映，干扰招投标活动的</w:t>
      </w:r>
      <w:r>
        <w:rPr>
          <w:rFonts w:hint="eastAsia" w:ascii="宋体" w:hAnsi="宋体" w:eastAsia="宋体"/>
          <w:color w:val="auto"/>
          <w:sz w:val="21"/>
          <w:szCs w:val="21"/>
          <w:highlight w:val="none"/>
          <w:lang w:eastAsia="zh-CN"/>
        </w:rPr>
        <w:t>。</w:t>
      </w:r>
    </w:p>
    <w:p w14:paraId="7B0063D2">
      <w:pPr>
        <w:spacing w:line="460" w:lineRule="exact"/>
        <w:ind w:firstLine="442" w:firstLineChars="200"/>
        <w:contextualSpacing/>
        <w:rPr>
          <w:rFonts w:hint="default" w:ascii="宋体" w:hAnsi="宋体" w:eastAsia="宋体" w:cs="宋体"/>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5、资格审查方式及评标办法</w:t>
      </w:r>
    </w:p>
    <w:p w14:paraId="61FC8EBB">
      <w:pPr>
        <w:spacing w:line="460" w:lineRule="exact"/>
        <w:ind w:firstLine="442" w:firstLineChars="200"/>
        <w:contextualSpacing/>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.1本</w:t>
      </w:r>
      <w:r>
        <w:rPr>
          <w:rFonts w:hint="eastAsia" w:ascii="宋体" w:hAnsi="宋体" w:eastAsia="宋体" w:cs="宋体"/>
          <w:color w:val="auto"/>
          <w:sz w:val="21"/>
          <w:szCs w:val="21"/>
          <w:highlight w:val="none"/>
          <w:lang w:val="en-US" w:eastAsia="zh-CN"/>
        </w:rPr>
        <w:t>项目资格审查方式</w:t>
      </w:r>
      <w:r>
        <w:rPr>
          <w:rFonts w:hint="eastAsia" w:ascii="宋体" w:hAnsi="宋体" w:eastAsia="宋体" w:cs="宋体"/>
          <w:color w:val="auto"/>
          <w:sz w:val="21"/>
          <w:szCs w:val="21"/>
          <w:highlight w:val="none"/>
        </w:rPr>
        <w:t>采用“资格后审”。评标办法:采用“最低评标价法”，具体内容详见</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rPr>
        <w:t>文件约定</w:t>
      </w:r>
      <w:r>
        <w:rPr>
          <w:rFonts w:hint="eastAsia" w:ascii="宋体" w:hAnsi="宋体" w:eastAsia="宋体" w:cs="宋体"/>
          <w:color w:val="auto"/>
          <w:sz w:val="21"/>
          <w:szCs w:val="21"/>
          <w:highlight w:val="none"/>
          <w:lang w:eastAsia="zh-CN"/>
        </w:rPr>
        <w:t>。</w:t>
      </w:r>
    </w:p>
    <w:p w14:paraId="05290337">
      <w:pPr>
        <w:spacing w:line="460" w:lineRule="exact"/>
        <w:ind w:firstLine="442" w:firstLineChars="200"/>
        <w:contextualSpacing/>
        <w:rPr>
          <w:rFonts w:hint="default"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6、获取谈判文件时间及方式</w:t>
      </w:r>
    </w:p>
    <w:p w14:paraId="2D437CA9">
      <w:pPr>
        <w:spacing w:line="460" w:lineRule="exact"/>
        <w:ind w:firstLine="442" w:firstLineChars="200"/>
        <w:contextualSpacing/>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6.1时间：2026年1月4日至2026年1月8日（每日上午08:30时至12:00时，下午14:30时至18:00时）。</w:t>
      </w:r>
    </w:p>
    <w:p w14:paraId="01C08EBE">
      <w:pPr>
        <w:spacing w:line="460" w:lineRule="exact"/>
        <w:ind w:firstLine="442" w:firstLineChars="200"/>
        <w:contextualSpacing/>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6.2方式：委派本单位正式人员携带单位介绍信或授权委托书至大数据产业园创新大厦南楼12楼市场服务办获取。（联系人：徐女士  联系电话18205114612）</w:t>
      </w:r>
    </w:p>
    <w:p w14:paraId="7D7FC129">
      <w:pPr>
        <w:spacing w:line="460" w:lineRule="exact"/>
        <w:ind w:firstLine="442" w:firstLineChars="200"/>
        <w:contextualSpacing/>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7、响应文件提交截止时间及地点</w:t>
      </w:r>
    </w:p>
    <w:p w14:paraId="6E36352D">
      <w:pPr>
        <w:spacing w:line="460" w:lineRule="exact"/>
        <w:ind w:firstLine="442" w:firstLineChars="200"/>
        <w:contextualSpacing/>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7.1截止时间：2026年1月9日上午10：00（北京时间）。</w:t>
      </w:r>
    </w:p>
    <w:p w14:paraId="16D8FE59">
      <w:pPr>
        <w:spacing w:line="460" w:lineRule="exact"/>
        <w:ind w:firstLine="442" w:firstLineChars="200"/>
        <w:contextualSpacing/>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7.2地点：大数据产业园创新大厦南楼12楼开标室。</w:t>
      </w:r>
    </w:p>
    <w:p w14:paraId="71C2DE86">
      <w:pPr>
        <w:spacing w:line="460" w:lineRule="exact"/>
        <w:ind w:firstLine="442" w:firstLineChars="200"/>
        <w:contextualSpacing/>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8、联系方式</w:t>
      </w:r>
      <w:r>
        <w:rPr>
          <w:rFonts w:hint="eastAsia" w:ascii="宋体" w:hAnsi="宋体" w:eastAsia="宋体" w:cs="宋体"/>
          <w:b/>
          <w:bCs/>
          <w:color w:val="auto"/>
          <w:sz w:val="21"/>
          <w:szCs w:val="21"/>
          <w:highlight w:val="none"/>
          <w:lang w:eastAsia="zh-CN"/>
        </w:rPr>
        <w:t xml:space="preserve">  </w:t>
      </w:r>
    </w:p>
    <w:p w14:paraId="210C3B38">
      <w:pPr>
        <w:spacing w:line="460" w:lineRule="exact"/>
        <w:ind w:firstLine="442" w:firstLineChars="200"/>
        <w:contextualSpacing/>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招标人：盐城盐数网安科技有限公司                      </w:t>
      </w:r>
    </w:p>
    <w:p w14:paraId="0A86BA87">
      <w:pPr>
        <w:spacing w:line="460" w:lineRule="exact"/>
        <w:ind w:firstLine="442" w:firstLineChars="200"/>
        <w:contextualSpacing/>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联系人及方式：李主任   19851597606   </w:t>
      </w:r>
    </w:p>
    <w:p w14:paraId="073D9B63">
      <w:pPr>
        <w:spacing w:line="460" w:lineRule="exact"/>
        <w:ind w:firstLine="442" w:firstLineChars="200"/>
        <w:contextualSpacing/>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代理机构：江苏建博工程管理咨询有限公司</w:t>
      </w:r>
    </w:p>
    <w:p w14:paraId="36A0CF0D">
      <w:pPr>
        <w:spacing w:line="460" w:lineRule="exact"/>
        <w:ind w:firstLine="442" w:firstLineChars="200"/>
        <w:contextualSpacing/>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联系人及方式：孙女士       15605108891</w:t>
      </w:r>
    </w:p>
    <w:p w14:paraId="44460693">
      <w:pPr>
        <w:spacing w:line="460" w:lineRule="exact"/>
        <w:ind w:firstLine="502" w:firstLineChars="200"/>
        <w:contextualSpacing/>
        <w:rPr>
          <w:rFonts w:hint="default"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监督电话：18351277636（陈先生）</w:t>
      </w:r>
    </w:p>
    <w:p w14:paraId="2CF2B9CD">
      <w:pPr>
        <w:spacing w:line="900" w:lineRule="exact"/>
        <w:ind w:left="49" w:firstLine="425"/>
        <w:jc w:val="center"/>
        <w:rPr>
          <w:rFonts w:ascii="宋体" w:hAnsi="宋体" w:eastAsia="宋体"/>
          <w:b/>
          <w:color w:val="auto"/>
          <w:sz w:val="24"/>
          <w:highlight w:val="none"/>
        </w:rPr>
      </w:pPr>
      <w:bookmarkStart w:id="1" w:name="_GoBack"/>
      <w:bookmarkEnd w:id="1"/>
      <w:r>
        <w:rPr>
          <w:rFonts w:hint="eastAsia" w:ascii="宋体" w:hAnsi="宋体" w:eastAsia="宋体"/>
          <w:b/>
          <w:bCs/>
          <w:color w:val="auto"/>
          <w:sz w:val="36"/>
          <w:highlight w:val="none"/>
        </w:rPr>
        <w:br w:type="page"/>
      </w:r>
      <w:r>
        <w:rPr>
          <w:rFonts w:hint="eastAsia" w:ascii="宋体" w:hAnsi="宋体" w:eastAsia="宋体"/>
          <w:b/>
          <w:bCs/>
          <w:color w:val="auto"/>
          <w:sz w:val="36"/>
          <w:highlight w:val="none"/>
        </w:rPr>
        <w:t>第一部分  投标须知</w:t>
      </w:r>
    </w:p>
    <w:p w14:paraId="29047F93">
      <w:pPr>
        <w:spacing w:line="460" w:lineRule="exact"/>
        <w:ind w:firstLine="442" w:firstLineChars="200"/>
        <w:contextualSpacing/>
        <w:rPr>
          <w:rFonts w:ascii="宋体" w:hAnsi="宋体" w:eastAsia="宋体"/>
          <w:b/>
          <w:color w:val="auto"/>
          <w:sz w:val="21"/>
          <w:szCs w:val="21"/>
          <w:highlight w:val="none"/>
        </w:rPr>
      </w:pPr>
      <w:r>
        <w:rPr>
          <w:rFonts w:hint="eastAsia" w:ascii="宋体" w:hAnsi="宋体" w:eastAsia="宋体"/>
          <w:b/>
          <w:color w:val="auto"/>
          <w:sz w:val="21"/>
          <w:szCs w:val="21"/>
          <w:highlight w:val="none"/>
        </w:rPr>
        <w:t>1、</w:t>
      </w:r>
      <w:r>
        <w:rPr>
          <w:rFonts w:hint="eastAsia" w:ascii="宋体" w:hAnsi="宋体" w:eastAsia="宋体"/>
          <w:b/>
          <w:color w:val="auto"/>
          <w:sz w:val="21"/>
          <w:szCs w:val="21"/>
          <w:highlight w:val="none"/>
          <w:lang w:val="en-US" w:eastAsia="zh-CN"/>
        </w:rPr>
        <w:t>项目</w:t>
      </w:r>
      <w:r>
        <w:rPr>
          <w:rFonts w:hint="eastAsia" w:ascii="宋体" w:hAnsi="宋体" w:eastAsia="宋体"/>
          <w:b/>
          <w:color w:val="auto"/>
          <w:sz w:val="21"/>
          <w:szCs w:val="21"/>
          <w:highlight w:val="none"/>
        </w:rPr>
        <w:t>综合说明</w:t>
      </w:r>
    </w:p>
    <w:p w14:paraId="00822AA4">
      <w:pPr>
        <w:spacing w:line="460" w:lineRule="exact"/>
        <w:ind w:firstLine="442" w:firstLineChars="200"/>
        <w:contextualSpacing/>
        <w:rPr>
          <w:rFonts w:hint="eastAsia" w:ascii="宋体" w:hAnsi="宋体" w:eastAsia="宋体" w:cs="宋体"/>
          <w:color w:val="auto"/>
          <w:sz w:val="21"/>
          <w:szCs w:val="21"/>
          <w:highlight w:val="none"/>
        </w:rPr>
      </w:pPr>
      <w:r>
        <w:rPr>
          <w:rFonts w:hint="eastAsia" w:ascii="宋体" w:hAnsi="宋体" w:eastAsia="宋体"/>
          <w:color w:val="auto"/>
          <w:sz w:val="21"/>
          <w:szCs w:val="21"/>
          <w:highlight w:val="none"/>
        </w:rPr>
        <w:t>1.1</w:t>
      </w:r>
      <w:r>
        <w:rPr>
          <w:rFonts w:hint="eastAsia" w:ascii="宋体" w:hAnsi="宋体" w:eastAsia="宋体"/>
          <w:color w:val="auto"/>
          <w:sz w:val="21"/>
          <w:szCs w:val="21"/>
          <w:highlight w:val="none"/>
          <w:lang w:val="en-US" w:eastAsia="zh-CN"/>
        </w:rPr>
        <w:t>项目</w:t>
      </w:r>
      <w:r>
        <w:rPr>
          <w:rFonts w:hint="eastAsia" w:ascii="宋体" w:hAnsi="宋体" w:eastAsia="宋体"/>
          <w:color w:val="auto"/>
          <w:sz w:val="21"/>
          <w:szCs w:val="21"/>
          <w:highlight w:val="none"/>
        </w:rPr>
        <w:t>名</w:t>
      </w:r>
      <w:r>
        <w:rPr>
          <w:rFonts w:hint="eastAsia" w:ascii="宋体" w:hAnsi="宋体" w:eastAsia="宋体" w:cs="宋体"/>
          <w:color w:val="auto"/>
          <w:sz w:val="21"/>
          <w:szCs w:val="21"/>
          <w:highlight w:val="none"/>
        </w:rPr>
        <w:t>称：</w:t>
      </w:r>
      <w:r>
        <w:rPr>
          <w:rFonts w:hint="eastAsia" w:ascii="宋体" w:hAnsi="宋体" w:eastAsia="宋体" w:cs="宋体"/>
          <w:color w:val="auto"/>
          <w:sz w:val="21"/>
          <w:szCs w:val="21"/>
          <w:highlight w:val="none"/>
          <w:lang w:val="en-US" w:eastAsia="zh-CN"/>
        </w:rPr>
        <w:t>应急工具箱采购项目</w:t>
      </w:r>
      <w:r>
        <w:rPr>
          <w:rFonts w:hint="eastAsia" w:ascii="宋体" w:hAnsi="宋体" w:eastAsia="宋体" w:cs="宋体"/>
          <w:color w:val="auto"/>
          <w:sz w:val="21"/>
          <w:szCs w:val="21"/>
          <w:highlight w:val="none"/>
        </w:rPr>
        <w:t>。</w:t>
      </w:r>
    </w:p>
    <w:p w14:paraId="2EE0715B">
      <w:pPr>
        <w:spacing w:line="460" w:lineRule="exact"/>
        <w:ind w:firstLine="442"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项目地点：</w:t>
      </w:r>
      <w:r>
        <w:rPr>
          <w:rFonts w:hint="eastAsia" w:ascii="宋体" w:hAnsi="宋体" w:eastAsia="宋体" w:cs="宋体"/>
          <w:color w:val="auto"/>
          <w:sz w:val="21"/>
          <w:szCs w:val="21"/>
          <w:highlight w:val="none"/>
          <w:lang w:eastAsia="zh-CN"/>
        </w:rPr>
        <w:t>盐城市</w:t>
      </w:r>
      <w:r>
        <w:rPr>
          <w:rFonts w:hint="eastAsia" w:ascii="宋体" w:hAnsi="宋体" w:eastAsia="宋体" w:cs="宋体"/>
          <w:color w:val="auto"/>
          <w:sz w:val="21"/>
          <w:szCs w:val="21"/>
          <w:highlight w:val="none"/>
          <w:lang w:val="en-US" w:eastAsia="zh-CN"/>
        </w:rPr>
        <w:t>盐南高新区</w:t>
      </w:r>
      <w:r>
        <w:rPr>
          <w:rFonts w:hint="eastAsia" w:ascii="宋体" w:hAnsi="宋体" w:eastAsia="宋体" w:cs="宋体"/>
          <w:color w:val="auto"/>
          <w:sz w:val="21"/>
          <w:szCs w:val="21"/>
          <w:highlight w:val="none"/>
        </w:rPr>
        <w:t>。</w:t>
      </w:r>
    </w:p>
    <w:p w14:paraId="2CA77BBF">
      <w:pPr>
        <w:widowControl/>
        <w:tabs>
          <w:tab w:val="left" w:pos="720"/>
        </w:tabs>
        <w:spacing w:line="460" w:lineRule="exact"/>
        <w:ind w:firstLine="442" w:firstLineChars="200"/>
        <w:contextualSpacing/>
        <w:jc w:val="left"/>
        <w:rPr>
          <w:rFonts w:ascii="宋体" w:hAnsi="宋体" w:eastAsia="宋体" w:cs="宋体"/>
          <w:color w:val="auto"/>
          <w:sz w:val="21"/>
          <w:szCs w:val="21"/>
          <w:highlight w:val="none"/>
        </w:rPr>
      </w:pPr>
      <w:r>
        <w:rPr>
          <w:rFonts w:hint="eastAsia" w:ascii="宋体" w:hAnsi="宋体" w:eastAsia="宋体"/>
          <w:color w:val="auto"/>
          <w:sz w:val="21"/>
          <w:szCs w:val="21"/>
          <w:highlight w:val="none"/>
        </w:rPr>
        <w:t>1.</w:t>
      </w:r>
      <w:r>
        <w:rPr>
          <w:rFonts w:hint="eastAsia" w:ascii="宋体" w:hAnsi="宋体" w:eastAsia="宋体"/>
          <w:color w:val="auto"/>
          <w:sz w:val="21"/>
          <w:szCs w:val="21"/>
          <w:highlight w:val="none"/>
          <w:lang w:val="en-US" w:eastAsia="zh-CN"/>
        </w:rPr>
        <w:t>3项目</w:t>
      </w:r>
      <w:r>
        <w:rPr>
          <w:rFonts w:hint="eastAsia" w:ascii="宋体" w:hAnsi="宋体" w:eastAsia="宋体" w:cs="宋体"/>
          <w:color w:val="auto"/>
          <w:sz w:val="21"/>
          <w:szCs w:val="21"/>
          <w:highlight w:val="none"/>
        </w:rPr>
        <w:t>规模：</w:t>
      </w:r>
      <w:r>
        <w:rPr>
          <w:rFonts w:hint="eastAsia" w:ascii="宋体" w:hAnsi="宋体" w:eastAsia="宋体" w:cs="宋体"/>
          <w:color w:val="auto"/>
          <w:sz w:val="21"/>
          <w:szCs w:val="21"/>
          <w:highlight w:val="none"/>
          <w:lang w:val="en-US" w:eastAsia="zh-CN"/>
        </w:rPr>
        <w:t>约27</w:t>
      </w:r>
      <w:r>
        <w:rPr>
          <w:rFonts w:hint="eastAsia" w:ascii="宋体" w:hAnsi="宋体" w:eastAsia="宋体" w:cs="宋体"/>
          <w:color w:val="auto"/>
          <w:sz w:val="21"/>
          <w:szCs w:val="21"/>
          <w:highlight w:val="none"/>
        </w:rPr>
        <w:t>万元。</w:t>
      </w:r>
    </w:p>
    <w:p w14:paraId="35DFF894">
      <w:pPr>
        <w:widowControl/>
        <w:tabs>
          <w:tab w:val="left" w:pos="720"/>
        </w:tabs>
        <w:spacing w:line="460" w:lineRule="exact"/>
        <w:ind w:firstLine="442" w:firstLineChars="200"/>
        <w:contextualSpacing/>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质量要求：合格。</w:t>
      </w:r>
    </w:p>
    <w:p w14:paraId="477EFA48">
      <w:pPr>
        <w:widowControl/>
        <w:tabs>
          <w:tab w:val="left" w:pos="720"/>
        </w:tabs>
        <w:spacing w:line="460" w:lineRule="exact"/>
        <w:ind w:firstLine="442" w:firstLineChars="200"/>
        <w:contextualSpacing/>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5工期要求：接到招标人通知后15日历天内完成</w:t>
      </w:r>
      <w:r>
        <w:rPr>
          <w:rFonts w:hint="eastAsia" w:ascii="宋体" w:hAnsi="宋体" w:eastAsia="宋体" w:cs="宋体"/>
          <w:color w:val="auto"/>
          <w:sz w:val="21"/>
          <w:szCs w:val="21"/>
          <w:highlight w:val="none"/>
          <w:lang w:val="en-US" w:eastAsia="zh-CN"/>
        </w:rPr>
        <w:t>，具体服从招标人要求。</w:t>
      </w:r>
    </w:p>
    <w:p w14:paraId="053493EF">
      <w:pPr>
        <w:spacing w:line="460" w:lineRule="exact"/>
        <w:ind w:firstLine="442" w:firstLineChars="200"/>
        <w:contextualSpacing/>
        <w:rPr>
          <w:rFonts w:ascii="宋体" w:hAnsi="宋体" w:eastAsia="宋体"/>
          <w:b/>
          <w:color w:val="auto"/>
          <w:sz w:val="21"/>
          <w:szCs w:val="21"/>
          <w:highlight w:val="none"/>
        </w:rPr>
      </w:pPr>
      <w:r>
        <w:rPr>
          <w:rFonts w:hint="eastAsia" w:ascii="宋体" w:hAnsi="宋体" w:eastAsia="宋体"/>
          <w:b/>
          <w:color w:val="auto"/>
          <w:sz w:val="21"/>
          <w:szCs w:val="21"/>
          <w:highlight w:val="none"/>
        </w:rPr>
        <w:t>2、招标方式及标段划分</w:t>
      </w:r>
    </w:p>
    <w:p w14:paraId="04A3AC57">
      <w:pPr>
        <w:spacing w:line="460" w:lineRule="exact"/>
        <w:ind w:firstLine="442" w:firstLineChars="200"/>
        <w:contextualSpacing/>
        <w:rPr>
          <w:rFonts w:hint="eastAsia" w:ascii="宋体" w:hAnsi="宋体" w:eastAsia="宋体"/>
          <w:color w:val="auto"/>
          <w:sz w:val="21"/>
          <w:szCs w:val="21"/>
          <w:highlight w:val="none"/>
          <w:u w:val="single"/>
          <w:lang w:val="en-US" w:eastAsia="zh-CN"/>
        </w:rPr>
      </w:pPr>
      <w:r>
        <w:rPr>
          <w:rFonts w:hint="eastAsia" w:ascii="宋体" w:hAnsi="宋体" w:eastAsia="宋体"/>
          <w:color w:val="auto"/>
          <w:sz w:val="21"/>
          <w:szCs w:val="21"/>
          <w:highlight w:val="none"/>
        </w:rPr>
        <w:t>2.1  本</w:t>
      </w:r>
      <w:r>
        <w:rPr>
          <w:rFonts w:hint="eastAsia" w:ascii="宋体" w:hAnsi="宋体" w:eastAsia="宋体"/>
          <w:color w:val="auto"/>
          <w:sz w:val="21"/>
          <w:szCs w:val="21"/>
          <w:highlight w:val="none"/>
          <w:lang w:val="en-US" w:eastAsia="zh-CN"/>
        </w:rPr>
        <w:t>项目</w:t>
      </w:r>
      <w:r>
        <w:rPr>
          <w:rFonts w:hint="eastAsia" w:ascii="宋体" w:hAnsi="宋体" w:eastAsia="宋体"/>
          <w:color w:val="auto"/>
          <w:sz w:val="21"/>
          <w:szCs w:val="21"/>
          <w:highlight w:val="none"/>
        </w:rPr>
        <w:t>招标方式：</w:t>
      </w:r>
      <w:r>
        <w:rPr>
          <w:rFonts w:hint="eastAsia" w:ascii="宋体" w:hAnsi="宋体" w:eastAsia="宋体" w:cs="宋体"/>
          <w:color w:val="auto"/>
          <w:sz w:val="21"/>
          <w:szCs w:val="21"/>
          <w:highlight w:val="none"/>
          <w:lang w:val="en-US" w:eastAsia="zh-CN"/>
        </w:rPr>
        <w:t>谈判</w:t>
      </w:r>
    </w:p>
    <w:p w14:paraId="3B0F18FE">
      <w:pPr>
        <w:widowControl/>
        <w:spacing w:line="460" w:lineRule="exact"/>
        <w:ind w:firstLine="438" w:firstLineChars="199"/>
        <w:contextualSpacing/>
        <w:jc w:val="left"/>
        <w:rPr>
          <w:rFonts w:ascii="宋体" w:hAnsi="宋体" w:eastAsia="宋体" w:cs="宋体"/>
          <w:bCs/>
          <w:color w:val="auto"/>
          <w:sz w:val="21"/>
          <w:szCs w:val="21"/>
          <w:highlight w:val="none"/>
        </w:rPr>
      </w:pPr>
      <w:r>
        <w:rPr>
          <w:rFonts w:hint="eastAsia" w:ascii="宋体" w:hAnsi="宋体" w:eastAsia="宋体"/>
          <w:color w:val="auto"/>
          <w:sz w:val="21"/>
          <w:szCs w:val="21"/>
          <w:highlight w:val="none"/>
        </w:rPr>
        <w:t>2.2  本次招标</w:t>
      </w:r>
      <w:r>
        <w:rPr>
          <w:rFonts w:hint="eastAsia" w:ascii="宋体" w:hAnsi="宋体" w:eastAsia="宋体"/>
          <w:color w:val="auto"/>
          <w:sz w:val="21"/>
          <w:szCs w:val="21"/>
          <w:highlight w:val="none"/>
          <w:lang w:val="en-US" w:eastAsia="zh-CN"/>
        </w:rPr>
        <w:t>项目</w:t>
      </w:r>
      <w:r>
        <w:rPr>
          <w:rFonts w:hint="eastAsia" w:ascii="宋体" w:hAnsi="宋体" w:eastAsia="宋体"/>
          <w:color w:val="auto"/>
          <w:sz w:val="21"/>
          <w:szCs w:val="21"/>
          <w:highlight w:val="none"/>
        </w:rPr>
        <w:t>为一个标段，</w:t>
      </w:r>
      <w:r>
        <w:rPr>
          <w:rFonts w:hint="eastAsia" w:ascii="宋体" w:hAnsi="宋体" w:eastAsia="宋体" w:cs="Arial"/>
          <w:bCs/>
          <w:color w:val="auto"/>
          <w:kern w:val="0"/>
          <w:sz w:val="21"/>
          <w:szCs w:val="21"/>
          <w:highlight w:val="none"/>
        </w:rPr>
        <w:t>主要招标内容如下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应急工具箱采购项目</w:t>
      </w:r>
      <w:r>
        <w:rPr>
          <w:rFonts w:hint="eastAsia" w:ascii="宋体" w:hAnsi="宋体" w:eastAsia="宋体" w:cs="宋体"/>
          <w:color w:val="auto"/>
          <w:sz w:val="21"/>
          <w:szCs w:val="21"/>
          <w:highlight w:val="none"/>
        </w:rPr>
        <w:t>,具体以招标人提供</w:t>
      </w:r>
      <w:r>
        <w:rPr>
          <w:rFonts w:hint="eastAsia" w:ascii="宋体" w:hAnsi="宋体" w:eastAsia="宋体" w:cs="宋体"/>
          <w:color w:val="auto"/>
          <w:sz w:val="21"/>
          <w:szCs w:val="21"/>
          <w:highlight w:val="none"/>
          <w:lang w:val="en-US" w:eastAsia="zh-CN"/>
        </w:rPr>
        <w:t>项目需求、报价清单和谈判文件</w:t>
      </w:r>
      <w:r>
        <w:rPr>
          <w:rFonts w:hint="eastAsia" w:ascii="宋体" w:hAnsi="宋体" w:eastAsia="宋体" w:cs="宋体"/>
          <w:color w:val="auto"/>
          <w:sz w:val="21"/>
          <w:szCs w:val="21"/>
          <w:highlight w:val="none"/>
        </w:rPr>
        <w:t>为准。</w:t>
      </w:r>
    </w:p>
    <w:p w14:paraId="1B8F9C2A">
      <w:pPr>
        <w:widowControl/>
        <w:spacing w:line="460" w:lineRule="exact"/>
        <w:ind w:firstLine="438" w:firstLineChars="199"/>
        <w:contextualSpacing/>
        <w:jc w:val="left"/>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招标</w:t>
      </w:r>
      <w:r>
        <w:rPr>
          <w:rFonts w:hint="eastAsia" w:ascii="宋体" w:hAnsi="宋体" w:eastAsia="宋体" w:cs="宋体"/>
          <w:b/>
          <w:bCs/>
          <w:color w:val="auto"/>
          <w:sz w:val="21"/>
          <w:szCs w:val="21"/>
          <w:highlight w:val="none"/>
        </w:rPr>
        <w:t>人保留对上述</w:t>
      </w:r>
      <w:r>
        <w:rPr>
          <w:rFonts w:hint="eastAsia" w:ascii="宋体" w:hAnsi="宋体" w:eastAsia="宋体" w:cs="宋体"/>
          <w:b/>
          <w:bCs/>
          <w:color w:val="auto"/>
          <w:sz w:val="21"/>
          <w:szCs w:val="21"/>
          <w:highlight w:val="none"/>
          <w:lang w:val="en-US" w:eastAsia="zh-CN"/>
        </w:rPr>
        <w:t>服务内容及</w:t>
      </w:r>
      <w:r>
        <w:rPr>
          <w:rFonts w:hint="eastAsia" w:ascii="宋体" w:hAnsi="宋体" w:eastAsia="宋体" w:cs="宋体"/>
          <w:b/>
          <w:bCs/>
          <w:color w:val="auto"/>
          <w:sz w:val="21"/>
          <w:szCs w:val="21"/>
          <w:highlight w:val="none"/>
        </w:rPr>
        <w:t>范围适当调整的权利。</w:t>
      </w:r>
    </w:p>
    <w:p w14:paraId="467C653F">
      <w:pPr>
        <w:spacing w:line="460" w:lineRule="exact"/>
        <w:ind w:firstLine="442" w:firstLineChars="200"/>
        <w:contextualSpacing/>
        <w:rPr>
          <w:rFonts w:ascii="宋体" w:hAnsi="宋体" w:eastAsia="宋体"/>
          <w:b/>
          <w:color w:val="auto"/>
          <w:sz w:val="21"/>
          <w:szCs w:val="21"/>
          <w:highlight w:val="none"/>
        </w:rPr>
      </w:pPr>
      <w:r>
        <w:rPr>
          <w:rFonts w:hint="eastAsia" w:ascii="宋体" w:hAnsi="宋体" w:eastAsia="宋体"/>
          <w:b/>
          <w:color w:val="auto"/>
          <w:sz w:val="21"/>
          <w:szCs w:val="21"/>
          <w:highlight w:val="none"/>
        </w:rPr>
        <w:t>3、资金来源</w:t>
      </w:r>
    </w:p>
    <w:p w14:paraId="6109D696">
      <w:pPr>
        <w:spacing w:line="460" w:lineRule="exact"/>
        <w:ind w:firstLine="442" w:firstLineChars="200"/>
        <w:contextualSpacing/>
        <w:rPr>
          <w:rFonts w:ascii="宋体" w:hAnsi="宋体" w:eastAsia="宋体"/>
          <w:color w:val="auto"/>
          <w:sz w:val="21"/>
          <w:szCs w:val="21"/>
          <w:highlight w:val="none"/>
        </w:rPr>
      </w:pPr>
      <w:r>
        <w:rPr>
          <w:rFonts w:hint="eastAsia" w:ascii="宋体" w:hAnsi="宋体" w:eastAsia="宋体"/>
          <w:color w:val="auto"/>
          <w:sz w:val="21"/>
          <w:szCs w:val="21"/>
          <w:highlight w:val="none"/>
        </w:rPr>
        <w:t>3.1本招标项目的资金来源：自筹。</w:t>
      </w:r>
    </w:p>
    <w:p w14:paraId="4B9B3192">
      <w:pPr>
        <w:spacing w:line="460" w:lineRule="exact"/>
        <w:ind w:firstLine="442" w:firstLineChars="200"/>
        <w:contextualSpacing/>
        <w:rPr>
          <w:rFonts w:ascii="宋体" w:hAnsi="宋体" w:eastAsia="宋体"/>
          <w:color w:val="auto"/>
          <w:sz w:val="21"/>
          <w:szCs w:val="21"/>
          <w:highlight w:val="none"/>
        </w:rPr>
      </w:pPr>
      <w:r>
        <w:rPr>
          <w:rFonts w:hint="eastAsia" w:ascii="宋体" w:hAnsi="宋体" w:eastAsia="宋体"/>
          <w:color w:val="auto"/>
          <w:sz w:val="21"/>
          <w:szCs w:val="21"/>
          <w:highlight w:val="none"/>
        </w:rPr>
        <w:t>3.2本招标项目的资金落实情况：已落实。</w:t>
      </w:r>
    </w:p>
    <w:p w14:paraId="6F7FBF84">
      <w:pPr>
        <w:spacing w:line="460" w:lineRule="exact"/>
        <w:ind w:firstLine="442" w:firstLineChars="200"/>
        <w:contextualSpacing/>
        <w:rPr>
          <w:rFonts w:ascii="宋体" w:hAnsi="宋体" w:eastAsia="宋体"/>
          <w:b/>
          <w:color w:val="auto"/>
          <w:sz w:val="21"/>
          <w:szCs w:val="21"/>
          <w:highlight w:val="none"/>
        </w:rPr>
      </w:pPr>
      <w:r>
        <w:rPr>
          <w:rFonts w:hint="eastAsia" w:ascii="宋体" w:hAnsi="宋体" w:eastAsia="宋体"/>
          <w:b/>
          <w:color w:val="auto"/>
          <w:sz w:val="21"/>
          <w:szCs w:val="21"/>
          <w:highlight w:val="none"/>
        </w:rPr>
        <w:t>4、投标人资格要求：</w:t>
      </w:r>
    </w:p>
    <w:p w14:paraId="6D7FB6ED">
      <w:pPr>
        <w:spacing w:line="460" w:lineRule="exact"/>
        <w:ind w:firstLine="442" w:firstLineChars="200"/>
        <w:contextualSpacing/>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4.1投标人资质类别和等级：投标人须为独立承担民事责任能力的在中华人民共和国境内注册的独立法人。</w:t>
      </w:r>
    </w:p>
    <w:p w14:paraId="32B1BAEB">
      <w:pPr>
        <w:spacing w:line="460" w:lineRule="exact"/>
        <w:ind w:firstLine="442" w:firstLineChars="200"/>
        <w:contextualSpacing/>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4.2</w:t>
      </w:r>
      <w:r>
        <w:rPr>
          <w:rFonts w:hint="eastAsia" w:ascii="宋体" w:hAnsi="宋体" w:eastAsia="宋体" w:cs="Times New Roman"/>
          <w:color w:val="auto"/>
          <w:sz w:val="21"/>
          <w:szCs w:val="21"/>
          <w:highlight w:val="none"/>
        </w:rPr>
        <w:t>项目负责人要求：项目负责人必须为投标人本单位的正式职工。</w:t>
      </w:r>
    </w:p>
    <w:p w14:paraId="3D943B58">
      <w:pPr>
        <w:spacing w:line="460" w:lineRule="exact"/>
        <w:ind w:firstLine="442" w:firstLineChars="200"/>
        <w:contextualSpacing/>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4.3信誉要求：</w:t>
      </w:r>
    </w:p>
    <w:p w14:paraId="20F1778D">
      <w:pPr>
        <w:spacing w:line="460" w:lineRule="exact"/>
        <w:ind w:firstLine="442" w:firstLineChars="200"/>
        <w:contextualSpacing/>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4.3.1投标人没有被国家、江苏省省级有关部门及盐城市级有关部门暂停招投标或市场准入资格且在公示处罚期内。</w:t>
      </w:r>
    </w:p>
    <w:p w14:paraId="45B62585">
      <w:pPr>
        <w:spacing w:line="460" w:lineRule="exact"/>
        <w:ind w:firstLine="442" w:firstLineChars="200"/>
        <w:contextualSpacing/>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4.3.2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资格预审申请人、投标人或者中标候选人因正被列为失信被执行人，导致其资格预审不通过或者被取消中标候选人资格、中标人资格的，不因其之后失信信息被撤销或更正而改变已经作出的决定。</w:t>
      </w:r>
    </w:p>
    <w:p w14:paraId="140110C4">
      <w:pPr>
        <w:spacing w:line="460" w:lineRule="exact"/>
        <w:ind w:firstLine="442" w:firstLineChars="200"/>
        <w:contextualSpacing/>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4.3.3投标人作为失信联合惩戒对象，被采取依法限制参与招投标惩戒措施的，被有关部门推送在“信用中国”、“信用江苏”、“信用盐城”相关网站公示且在有效期内的，本项目的招标人拒绝其投标，资格审查不予通过，不得被确定为中标候选人、中标人。在一次招投标活动中，资格预审申请人、投标人或者中标候选人因正被列为联合惩戒对象，导致其资格预审不通过或者被取消中标候选人资格、中标人资格的，不因其之后失信信息被撤销或更正而改变已经作出的决定。</w:t>
      </w:r>
    </w:p>
    <w:p w14:paraId="53F078B8">
      <w:pPr>
        <w:spacing w:line="460" w:lineRule="exact"/>
        <w:ind w:firstLine="442" w:firstLineChars="200"/>
        <w:contextualSpacing/>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4.4投标申请人须保证项目负责人及</w:t>
      </w:r>
      <w:r>
        <w:rPr>
          <w:rFonts w:hint="eastAsia" w:ascii="宋体" w:hAnsi="宋体" w:eastAsia="宋体" w:cs="宋体"/>
          <w:color w:val="auto"/>
          <w:sz w:val="21"/>
          <w:szCs w:val="21"/>
          <w:highlight w:val="none"/>
          <w:lang w:val="en-US" w:eastAsia="zh-CN"/>
        </w:rPr>
        <w:t>授权委托人</w:t>
      </w:r>
      <w:r>
        <w:rPr>
          <w:rFonts w:hint="eastAsia" w:ascii="宋体" w:hAnsi="宋体" w:eastAsia="宋体" w:cs="Times New Roman"/>
          <w:color w:val="auto"/>
          <w:sz w:val="21"/>
          <w:szCs w:val="21"/>
          <w:highlight w:val="none"/>
          <w:lang w:val="en-US" w:eastAsia="zh-CN"/>
        </w:rPr>
        <w:t>均为本单位的正式职工，投标时提供项目负责人及</w:t>
      </w:r>
      <w:r>
        <w:rPr>
          <w:rFonts w:hint="eastAsia" w:ascii="宋体" w:hAnsi="宋体" w:eastAsia="宋体" w:cs="宋体"/>
          <w:color w:val="auto"/>
          <w:sz w:val="21"/>
          <w:szCs w:val="21"/>
          <w:highlight w:val="none"/>
          <w:lang w:val="en-US" w:eastAsia="zh-CN"/>
        </w:rPr>
        <w:t>授权委托人</w:t>
      </w:r>
      <w:r>
        <w:rPr>
          <w:rFonts w:hint="eastAsia" w:ascii="宋体" w:hAnsi="宋体" w:eastAsia="宋体" w:cs="Times New Roman"/>
          <w:color w:val="auto"/>
          <w:sz w:val="21"/>
          <w:szCs w:val="21"/>
          <w:highlight w:val="none"/>
          <w:lang w:val="en-US" w:eastAsia="zh-CN"/>
        </w:rPr>
        <w:t>从2025年9月开始至投标截止之日当月至少1个月在本单位缴纳养老保险缴费记录证明。（退休人员提供在本单位相关证明。）</w:t>
      </w:r>
    </w:p>
    <w:p w14:paraId="6B6BBC20">
      <w:pPr>
        <w:spacing w:line="460" w:lineRule="exact"/>
        <w:ind w:firstLine="442" w:firstLineChars="200"/>
        <w:contextualSpacing/>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rPr>
        <w:t>本次招标不接受联合体投标。</w:t>
      </w:r>
    </w:p>
    <w:p w14:paraId="6F621BD1">
      <w:pPr>
        <w:spacing w:line="460" w:lineRule="exact"/>
        <w:ind w:firstLine="442" w:firstLineChars="200"/>
        <w:contextualSpacing/>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本项目严禁挂靠、转包，一经核实挂靠、转包的，将被取消投标、中标资格，同时将对其作出相应处罚。</w:t>
      </w:r>
    </w:p>
    <w:p w14:paraId="1AC6A343">
      <w:pPr>
        <w:spacing w:line="460" w:lineRule="exact"/>
        <w:ind w:firstLine="442" w:firstLineChars="200"/>
        <w:contextualSpacing/>
        <w:rPr>
          <w:rFonts w:ascii="宋体" w:hAnsi="宋体" w:eastAsia="宋体"/>
          <w:color w:val="auto"/>
          <w:sz w:val="21"/>
          <w:szCs w:val="21"/>
          <w:highlight w:val="none"/>
        </w:rPr>
      </w:pPr>
      <w:r>
        <w:rPr>
          <w:rFonts w:hint="eastAsia" w:ascii="宋体" w:hAnsi="宋体" w:eastAsia="宋体"/>
          <w:b/>
          <w:color w:val="auto"/>
          <w:sz w:val="21"/>
          <w:szCs w:val="21"/>
          <w:highlight w:val="none"/>
        </w:rPr>
        <w:t>5、资格审查方式</w:t>
      </w:r>
    </w:p>
    <w:p w14:paraId="56F98701">
      <w:pPr>
        <w:numPr>
          <w:ins w:id="1" w:author="Administrator" w:date="2011-11-02T15:43:00Z"/>
        </w:numPr>
        <w:tabs>
          <w:tab w:val="left" w:pos="1080"/>
        </w:tabs>
        <w:spacing w:line="460" w:lineRule="exact"/>
        <w:ind w:firstLine="442" w:firstLineChars="200"/>
        <w:contextualSpacing/>
        <w:rPr>
          <w:rFonts w:ascii="宋体" w:hAnsi="宋体" w:eastAsia="宋体"/>
          <w:color w:val="auto"/>
          <w:sz w:val="21"/>
          <w:szCs w:val="21"/>
          <w:highlight w:val="none"/>
        </w:rPr>
      </w:pPr>
      <w:r>
        <w:rPr>
          <w:rFonts w:hint="eastAsia" w:ascii="宋体" w:hAnsi="宋体" w:eastAsia="宋体"/>
          <w:color w:val="auto"/>
          <w:sz w:val="21"/>
          <w:szCs w:val="21"/>
          <w:highlight w:val="none"/>
        </w:rPr>
        <w:t>5.1本</w:t>
      </w:r>
      <w:r>
        <w:rPr>
          <w:rFonts w:hint="eastAsia" w:ascii="宋体" w:hAnsi="宋体" w:eastAsia="宋体"/>
          <w:color w:val="auto"/>
          <w:sz w:val="21"/>
          <w:szCs w:val="21"/>
          <w:highlight w:val="none"/>
          <w:lang w:val="en-US" w:eastAsia="zh-CN"/>
        </w:rPr>
        <w:t>项目</w:t>
      </w:r>
      <w:r>
        <w:rPr>
          <w:rFonts w:hint="eastAsia" w:ascii="宋体" w:hAnsi="宋体" w:eastAsia="宋体"/>
          <w:color w:val="auto"/>
          <w:sz w:val="21"/>
          <w:szCs w:val="21"/>
          <w:highlight w:val="none"/>
        </w:rPr>
        <w:t>采用</w:t>
      </w:r>
      <w:r>
        <w:rPr>
          <w:rFonts w:hint="eastAsia" w:ascii="宋体" w:hAnsi="宋体" w:eastAsia="宋体"/>
          <w:color w:val="auto"/>
          <w:sz w:val="21"/>
          <w:szCs w:val="21"/>
          <w:highlight w:val="none"/>
          <w:u w:val="single"/>
        </w:rPr>
        <w:t>“</w:t>
      </w:r>
      <w:r>
        <w:rPr>
          <w:rFonts w:hint="eastAsia" w:ascii="宋体" w:hAnsi="宋体" w:eastAsia="宋体"/>
          <w:b/>
          <w:color w:val="auto"/>
          <w:sz w:val="21"/>
          <w:szCs w:val="21"/>
          <w:highlight w:val="none"/>
          <w:u w:val="single"/>
        </w:rPr>
        <w:t>资格后审</w:t>
      </w:r>
      <w:r>
        <w:rPr>
          <w:rFonts w:hint="eastAsia" w:ascii="宋体" w:hAnsi="宋体" w:eastAsia="宋体"/>
          <w:color w:val="auto"/>
          <w:sz w:val="21"/>
          <w:szCs w:val="21"/>
          <w:highlight w:val="none"/>
          <w:u w:val="single"/>
        </w:rPr>
        <w:t>”</w:t>
      </w:r>
      <w:r>
        <w:rPr>
          <w:rFonts w:hint="eastAsia" w:ascii="宋体" w:hAnsi="宋体" w:eastAsia="宋体"/>
          <w:color w:val="auto"/>
          <w:sz w:val="21"/>
          <w:szCs w:val="21"/>
          <w:highlight w:val="none"/>
        </w:rPr>
        <w:t>办法确定投标人。</w:t>
      </w:r>
    </w:p>
    <w:p w14:paraId="70D31EC7">
      <w:pPr>
        <w:widowControl/>
        <w:spacing w:line="460" w:lineRule="exact"/>
        <w:ind w:firstLine="442" w:firstLineChars="200"/>
        <w:contextualSpacing/>
        <w:jc w:val="left"/>
        <w:rPr>
          <w:rFonts w:ascii="宋体" w:hAnsi="宋体" w:eastAsia="宋体"/>
          <w:b/>
          <w:color w:val="auto"/>
          <w:sz w:val="21"/>
          <w:szCs w:val="21"/>
          <w:highlight w:val="none"/>
        </w:rPr>
      </w:pPr>
      <w:r>
        <w:rPr>
          <w:rFonts w:hint="eastAsia" w:ascii="宋体" w:hAnsi="宋体" w:eastAsia="宋体"/>
          <w:b/>
          <w:color w:val="auto"/>
          <w:sz w:val="21"/>
          <w:szCs w:val="21"/>
          <w:highlight w:val="none"/>
        </w:rPr>
        <w:t>6、投标有效期</w:t>
      </w:r>
    </w:p>
    <w:p w14:paraId="68161B68">
      <w:pPr>
        <w:spacing w:line="460" w:lineRule="exact"/>
        <w:ind w:left="-566" w:leftChars="-171" w:firstLine="994" w:firstLineChars="450"/>
        <w:contextualSpacing/>
        <w:rPr>
          <w:rFonts w:ascii="宋体" w:hAnsi="宋体" w:eastAsia="宋体"/>
          <w:color w:val="auto"/>
          <w:sz w:val="21"/>
          <w:szCs w:val="21"/>
          <w:highlight w:val="none"/>
        </w:rPr>
      </w:pPr>
      <w:r>
        <w:rPr>
          <w:rFonts w:hint="eastAsia" w:ascii="宋体" w:hAnsi="宋体" w:eastAsia="宋体"/>
          <w:color w:val="auto"/>
          <w:sz w:val="21"/>
          <w:szCs w:val="21"/>
          <w:highlight w:val="none"/>
        </w:rPr>
        <w:t>本</w:t>
      </w:r>
      <w:r>
        <w:rPr>
          <w:rFonts w:hint="eastAsia" w:ascii="宋体" w:hAnsi="宋体" w:eastAsia="宋体"/>
          <w:color w:val="auto"/>
          <w:sz w:val="21"/>
          <w:szCs w:val="21"/>
          <w:highlight w:val="none"/>
          <w:lang w:val="en-US" w:eastAsia="zh-CN"/>
        </w:rPr>
        <w:t>项目</w:t>
      </w:r>
      <w:r>
        <w:rPr>
          <w:rFonts w:hint="eastAsia" w:ascii="宋体" w:hAnsi="宋体" w:eastAsia="宋体"/>
          <w:color w:val="auto"/>
          <w:sz w:val="21"/>
          <w:szCs w:val="21"/>
          <w:highlight w:val="none"/>
        </w:rPr>
        <w:t>投标有效期为</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u w:val="single"/>
          <w:lang w:val="en-US" w:eastAsia="zh-CN"/>
        </w:rPr>
        <w:t>60</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日历天。</w:t>
      </w:r>
    </w:p>
    <w:p w14:paraId="3ECAFA1D">
      <w:pPr>
        <w:spacing w:line="460" w:lineRule="exact"/>
        <w:ind w:firstLine="442" w:firstLineChars="200"/>
        <w:contextualSpacing/>
        <w:rPr>
          <w:rFonts w:ascii="宋体" w:hAnsi="宋体" w:eastAsia="宋体"/>
          <w:b/>
          <w:color w:val="auto"/>
          <w:sz w:val="21"/>
          <w:szCs w:val="21"/>
          <w:highlight w:val="none"/>
        </w:rPr>
      </w:pPr>
      <w:r>
        <w:rPr>
          <w:rFonts w:hint="eastAsia" w:ascii="宋体" w:hAnsi="宋体" w:eastAsia="宋体"/>
          <w:b/>
          <w:color w:val="auto"/>
          <w:sz w:val="21"/>
          <w:szCs w:val="21"/>
          <w:highlight w:val="none"/>
        </w:rPr>
        <w:t>7、投标保证金</w:t>
      </w:r>
    </w:p>
    <w:p w14:paraId="52804817">
      <w:pPr>
        <w:tabs>
          <w:tab w:val="left" w:pos="790"/>
        </w:tabs>
        <w:spacing w:line="460" w:lineRule="exact"/>
        <w:ind w:firstLine="442" w:firstLineChars="200"/>
        <w:contextualSpacing/>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7</w:t>
      </w:r>
      <w:r>
        <w:rPr>
          <w:rFonts w:hint="eastAsia" w:ascii="宋体" w:hAnsi="宋体" w:eastAsia="宋体"/>
          <w:color w:val="auto"/>
          <w:sz w:val="21"/>
          <w:szCs w:val="21"/>
          <w:highlight w:val="none"/>
        </w:rPr>
        <w:t>.1投标人在递交</w:t>
      </w:r>
      <w:r>
        <w:rPr>
          <w:rFonts w:hint="eastAsia" w:ascii="宋体" w:hAnsi="宋体" w:eastAsia="宋体"/>
          <w:color w:val="auto"/>
          <w:sz w:val="21"/>
          <w:szCs w:val="21"/>
          <w:highlight w:val="none"/>
          <w:lang w:eastAsia="zh-CN"/>
        </w:rPr>
        <w:t>响应文件</w:t>
      </w:r>
      <w:r>
        <w:rPr>
          <w:rFonts w:hint="eastAsia" w:ascii="宋体" w:hAnsi="宋体" w:eastAsia="宋体"/>
          <w:color w:val="auto"/>
          <w:sz w:val="21"/>
          <w:szCs w:val="21"/>
          <w:highlight w:val="none"/>
        </w:rPr>
        <w:t>的同时，应按规定的金额、形式递交投标保证金，并作为其</w:t>
      </w:r>
      <w:r>
        <w:rPr>
          <w:rFonts w:hint="eastAsia" w:ascii="宋体" w:hAnsi="宋体" w:eastAsia="宋体"/>
          <w:color w:val="auto"/>
          <w:sz w:val="21"/>
          <w:szCs w:val="21"/>
          <w:highlight w:val="none"/>
          <w:lang w:eastAsia="zh-CN"/>
        </w:rPr>
        <w:t>响应文件</w:t>
      </w:r>
      <w:r>
        <w:rPr>
          <w:rFonts w:hint="eastAsia" w:ascii="宋体" w:hAnsi="宋体" w:eastAsia="宋体"/>
          <w:color w:val="auto"/>
          <w:sz w:val="21"/>
          <w:szCs w:val="21"/>
          <w:highlight w:val="none"/>
        </w:rPr>
        <w:t>的组成部分</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lang w:val="en-US" w:eastAsia="zh-CN"/>
        </w:rPr>
        <w:t>在递交响应文件时将投标保证金或缴纳手续凭证递交给招标人</w:t>
      </w:r>
      <w:r>
        <w:rPr>
          <w:rFonts w:hint="eastAsia" w:ascii="宋体" w:hAnsi="宋体" w:eastAsia="宋体"/>
          <w:color w:val="auto"/>
          <w:sz w:val="21"/>
          <w:szCs w:val="21"/>
          <w:highlight w:val="none"/>
        </w:rPr>
        <w:t>。</w:t>
      </w:r>
    </w:p>
    <w:p w14:paraId="2204C144">
      <w:pPr>
        <w:tabs>
          <w:tab w:val="left" w:pos="790"/>
        </w:tabs>
        <w:spacing w:line="460" w:lineRule="exact"/>
        <w:ind w:firstLine="442" w:firstLineChars="200"/>
        <w:contextualSpacing/>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7</w:t>
      </w:r>
      <w:r>
        <w:rPr>
          <w:rFonts w:hint="eastAsia" w:ascii="宋体" w:hAnsi="宋体" w:eastAsia="宋体"/>
          <w:color w:val="auto"/>
          <w:sz w:val="21"/>
          <w:szCs w:val="21"/>
          <w:highlight w:val="none"/>
        </w:rPr>
        <w:t>.</w:t>
      </w:r>
      <w:r>
        <w:rPr>
          <w:rFonts w:ascii="宋体" w:hAnsi="宋体" w:eastAsia="宋体"/>
          <w:color w:val="auto"/>
          <w:sz w:val="21"/>
          <w:szCs w:val="21"/>
          <w:highlight w:val="none"/>
        </w:rPr>
        <w:t>2</w:t>
      </w:r>
      <w:r>
        <w:rPr>
          <w:rFonts w:hint="eastAsia" w:ascii="宋体" w:hAnsi="宋体" w:eastAsia="宋体"/>
          <w:color w:val="auto"/>
          <w:sz w:val="21"/>
          <w:szCs w:val="21"/>
          <w:highlight w:val="none"/>
        </w:rPr>
        <w:t>本</w:t>
      </w:r>
      <w:r>
        <w:rPr>
          <w:rFonts w:hint="eastAsia" w:ascii="宋体" w:hAnsi="宋体" w:eastAsia="宋体"/>
          <w:color w:val="auto"/>
          <w:sz w:val="21"/>
          <w:szCs w:val="21"/>
          <w:highlight w:val="none"/>
          <w:lang w:val="en-US" w:eastAsia="zh-CN"/>
        </w:rPr>
        <w:t>项目</w:t>
      </w:r>
      <w:r>
        <w:rPr>
          <w:rFonts w:hint="eastAsia" w:ascii="宋体" w:hAnsi="宋体" w:eastAsia="宋体"/>
          <w:color w:val="auto"/>
          <w:sz w:val="21"/>
          <w:szCs w:val="21"/>
          <w:highlight w:val="none"/>
        </w:rPr>
        <w:t>投标保证金数额为人民币</w:t>
      </w:r>
      <w:r>
        <w:rPr>
          <w:rFonts w:hint="eastAsia" w:ascii="宋体" w:hAnsi="宋体" w:eastAsia="宋体"/>
          <w:color w:val="auto"/>
          <w:sz w:val="21"/>
          <w:szCs w:val="21"/>
          <w:highlight w:val="none"/>
          <w:lang w:val="en-US" w:eastAsia="zh-CN"/>
        </w:rPr>
        <w:t>叁仟元</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rPr>
        <w:t>000</w:t>
      </w:r>
      <w:r>
        <w:rPr>
          <w:rFonts w:hint="eastAsia" w:ascii="宋体" w:hAnsi="宋体" w:eastAsia="宋体"/>
          <w:color w:val="auto"/>
          <w:sz w:val="21"/>
          <w:szCs w:val="21"/>
          <w:highlight w:val="none"/>
          <w:lang w:val="en-US" w:eastAsia="zh-CN"/>
        </w:rPr>
        <w:t>元</w:t>
      </w:r>
      <w:r>
        <w:rPr>
          <w:rFonts w:hint="eastAsia" w:ascii="宋体" w:hAnsi="宋体" w:eastAsia="宋体"/>
          <w:color w:val="auto"/>
          <w:sz w:val="21"/>
          <w:szCs w:val="21"/>
          <w:highlight w:val="none"/>
        </w:rPr>
        <w:t>）。投标人须在本</w:t>
      </w:r>
      <w:r>
        <w:rPr>
          <w:rFonts w:hint="eastAsia" w:ascii="宋体" w:hAnsi="宋体" w:eastAsia="宋体"/>
          <w:color w:val="auto"/>
          <w:sz w:val="21"/>
          <w:szCs w:val="21"/>
          <w:highlight w:val="none"/>
          <w:lang w:val="en-US" w:eastAsia="zh-CN"/>
        </w:rPr>
        <w:t>项目递交响应文件截止时间前</w:t>
      </w:r>
      <w:r>
        <w:rPr>
          <w:rFonts w:hint="eastAsia" w:ascii="宋体" w:hAnsi="宋体" w:eastAsia="宋体"/>
          <w:color w:val="auto"/>
          <w:sz w:val="21"/>
          <w:szCs w:val="21"/>
          <w:highlight w:val="none"/>
        </w:rPr>
        <w:t>办理投标保证金缴纳手续，投标保证金有效期与投标有效期一致。各投标人必须以企业法人基本存款账户办理保证金缴纳手续，否则不予接受。</w:t>
      </w:r>
    </w:p>
    <w:p w14:paraId="0DB56CA8">
      <w:pPr>
        <w:tabs>
          <w:tab w:val="left" w:pos="790"/>
        </w:tabs>
        <w:spacing w:line="460" w:lineRule="exact"/>
        <w:ind w:firstLine="442" w:firstLineChars="200"/>
        <w:contextualSpacing/>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7.3</w:t>
      </w:r>
      <w:r>
        <w:rPr>
          <w:rFonts w:hint="eastAsia" w:ascii="宋体" w:hAnsi="宋体" w:eastAsia="宋体"/>
          <w:color w:val="auto"/>
          <w:sz w:val="21"/>
          <w:szCs w:val="21"/>
          <w:highlight w:val="none"/>
        </w:rPr>
        <w:t>投标保证金可采用</w:t>
      </w:r>
      <w:r>
        <w:rPr>
          <w:rFonts w:hint="eastAsia" w:ascii="宋体" w:hAnsi="宋体" w:eastAsia="宋体"/>
          <w:color w:val="auto"/>
          <w:sz w:val="21"/>
          <w:szCs w:val="21"/>
          <w:highlight w:val="none"/>
          <w:lang w:val="en-US" w:eastAsia="zh-CN"/>
        </w:rPr>
        <w:t>银行汇票、本票、保函、电汇、转账、银行保函、保险机构保单等</w:t>
      </w:r>
      <w:r>
        <w:rPr>
          <w:rFonts w:hint="eastAsia" w:ascii="宋体" w:hAnsi="宋体" w:eastAsia="宋体"/>
          <w:color w:val="auto"/>
          <w:sz w:val="21"/>
          <w:szCs w:val="21"/>
          <w:highlight w:val="none"/>
        </w:rPr>
        <w:t>形式，投标人根据企业实际情况合理选择投标保证金的缴纳形式，不同缴纳形式具有同等法律效力。</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rPr>
        <w:t>开户名：</w:t>
      </w:r>
      <w:r>
        <w:rPr>
          <w:rFonts w:hint="eastAsia" w:ascii="宋体" w:hAnsi="宋体" w:eastAsia="宋体"/>
          <w:color w:val="auto"/>
          <w:sz w:val="21"/>
          <w:szCs w:val="21"/>
          <w:highlight w:val="none"/>
          <w:lang w:val="en-US" w:eastAsia="zh-CN"/>
        </w:rPr>
        <w:t>盐城盐数网安科技有限公司</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rPr>
        <w:t>开户行：</w:t>
      </w:r>
      <w:r>
        <w:rPr>
          <w:rFonts w:hint="eastAsia" w:ascii="宋体" w:hAnsi="宋体" w:eastAsia="宋体"/>
          <w:color w:val="auto"/>
          <w:sz w:val="21"/>
          <w:szCs w:val="21"/>
          <w:highlight w:val="none"/>
          <w:lang w:val="en-US" w:eastAsia="zh-CN"/>
        </w:rPr>
        <w:t xml:space="preserve">中国建设银行股份有限公司盐城城南支行 </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rPr>
        <w:t>账号：32050173503800003127</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lang w:eastAsia="zh-CN"/>
        </w:rPr>
        <w:t>）</w:t>
      </w:r>
    </w:p>
    <w:p w14:paraId="24B508DD">
      <w:pPr>
        <w:tabs>
          <w:tab w:val="left" w:pos="790"/>
        </w:tabs>
        <w:spacing w:line="460" w:lineRule="exact"/>
        <w:ind w:firstLine="442" w:firstLineChars="200"/>
        <w:contextualSpacing/>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7.3.1采用银行汇票、本票、保函、电汇、转账、银行保函、保险机构保单缴纳投标保证金的，</w:t>
      </w:r>
      <w:r>
        <w:rPr>
          <w:rFonts w:hint="eastAsia" w:ascii="宋体" w:hAnsi="宋体" w:eastAsia="宋体"/>
          <w:color w:val="auto"/>
          <w:sz w:val="21"/>
          <w:szCs w:val="21"/>
          <w:highlight w:val="none"/>
        </w:rPr>
        <w:t>投标截止时间之前，</w:t>
      </w:r>
      <w:r>
        <w:rPr>
          <w:rFonts w:hint="eastAsia" w:ascii="宋体" w:hAnsi="宋体" w:eastAsia="宋体"/>
          <w:b/>
          <w:bCs/>
          <w:color w:val="auto"/>
          <w:sz w:val="21"/>
          <w:szCs w:val="21"/>
          <w:highlight w:val="none"/>
        </w:rPr>
        <w:t>各投标人</w:t>
      </w:r>
      <w:r>
        <w:rPr>
          <w:rFonts w:hint="eastAsia" w:ascii="宋体" w:hAnsi="宋体" w:eastAsia="宋体"/>
          <w:b/>
          <w:bCs/>
          <w:color w:val="auto"/>
          <w:sz w:val="21"/>
          <w:szCs w:val="21"/>
          <w:highlight w:val="none"/>
          <w:lang w:val="en-US" w:eastAsia="zh-CN"/>
        </w:rPr>
        <w:t>可</w:t>
      </w:r>
      <w:r>
        <w:rPr>
          <w:rFonts w:hint="eastAsia" w:ascii="宋体" w:hAnsi="宋体" w:eastAsia="宋体"/>
          <w:b/>
          <w:bCs/>
          <w:color w:val="auto"/>
          <w:sz w:val="21"/>
          <w:szCs w:val="21"/>
          <w:highlight w:val="none"/>
        </w:rPr>
        <w:t>将银行汇票</w:t>
      </w:r>
      <w:r>
        <w:rPr>
          <w:rFonts w:hint="eastAsia" w:ascii="宋体" w:hAnsi="宋体" w:eastAsia="宋体"/>
          <w:b/>
          <w:bCs/>
          <w:color w:val="auto"/>
          <w:sz w:val="21"/>
          <w:szCs w:val="21"/>
          <w:highlight w:val="none"/>
          <w:lang w:val="en-US" w:eastAsia="zh-CN"/>
        </w:rPr>
        <w:t>或本票</w:t>
      </w:r>
      <w:r>
        <w:rPr>
          <w:rFonts w:hint="eastAsia" w:ascii="宋体" w:hAnsi="宋体" w:eastAsia="宋体"/>
          <w:b/>
          <w:bCs/>
          <w:color w:val="auto"/>
          <w:sz w:val="21"/>
          <w:szCs w:val="21"/>
          <w:highlight w:val="none"/>
        </w:rPr>
        <w:t>原件</w:t>
      </w:r>
      <w:r>
        <w:rPr>
          <w:rFonts w:hint="eastAsia" w:ascii="宋体" w:hAnsi="宋体" w:eastAsia="宋体"/>
          <w:b/>
          <w:bCs/>
          <w:color w:val="auto"/>
          <w:sz w:val="21"/>
          <w:szCs w:val="21"/>
          <w:highlight w:val="none"/>
          <w:lang w:val="en-US" w:eastAsia="zh-CN"/>
        </w:rPr>
        <w:t>或保函（保单）材料或电汇转账银行回执单</w:t>
      </w:r>
      <w:r>
        <w:rPr>
          <w:rFonts w:hint="eastAsia" w:ascii="宋体" w:hAnsi="宋体" w:eastAsia="宋体"/>
          <w:b/>
          <w:bCs/>
          <w:color w:val="auto"/>
          <w:sz w:val="21"/>
          <w:szCs w:val="21"/>
          <w:highlight w:val="none"/>
        </w:rPr>
        <w:t>、基本帐户的银行企业开户许可证明材料原件或复印件带至开标现场交工作人员核验</w:t>
      </w:r>
      <w:r>
        <w:rPr>
          <w:rFonts w:hint="eastAsia" w:ascii="宋体" w:hAnsi="宋体" w:eastAsia="宋体"/>
          <w:color w:val="auto"/>
          <w:sz w:val="21"/>
          <w:szCs w:val="21"/>
          <w:highlight w:val="none"/>
        </w:rPr>
        <w:t>，未按上述要求交纳投标保证金的、基本帐户的银行企业开户许可证明材料</w:t>
      </w:r>
      <w:r>
        <w:rPr>
          <w:rFonts w:hint="eastAsia" w:ascii="宋体" w:hAnsi="宋体" w:eastAsia="宋体"/>
          <w:color w:val="auto"/>
          <w:sz w:val="21"/>
          <w:szCs w:val="21"/>
          <w:highlight w:val="none"/>
          <w:lang w:val="en-US" w:eastAsia="zh-CN"/>
        </w:rPr>
        <w:t>等证明材料</w:t>
      </w:r>
      <w:r>
        <w:rPr>
          <w:rFonts w:hint="eastAsia" w:ascii="宋体" w:hAnsi="宋体" w:eastAsia="宋体"/>
          <w:color w:val="auto"/>
          <w:sz w:val="21"/>
          <w:szCs w:val="21"/>
          <w:highlight w:val="none"/>
        </w:rPr>
        <w:t>的，招标人将不予接收其</w:t>
      </w:r>
      <w:r>
        <w:rPr>
          <w:rFonts w:hint="eastAsia" w:ascii="宋体" w:hAnsi="宋体" w:eastAsia="宋体"/>
          <w:color w:val="auto"/>
          <w:sz w:val="21"/>
          <w:szCs w:val="21"/>
          <w:highlight w:val="none"/>
          <w:lang w:eastAsia="zh-CN"/>
        </w:rPr>
        <w:t>响应文件</w:t>
      </w:r>
      <w:r>
        <w:rPr>
          <w:rFonts w:hint="eastAsia" w:ascii="宋体" w:hAnsi="宋体" w:eastAsia="宋体"/>
          <w:color w:val="auto"/>
          <w:sz w:val="21"/>
          <w:szCs w:val="21"/>
          <w:highlight w:val="none"/>
        </w:rPr>
        <w:t>。</w:t>
      </w:r>
    </w:p>
    <w:p w14:paraId="10922AFE">
      <w:pPr>
        <w:tabs>
          <w:tab w:val="left" w:pos="790"/>
        </w:tabs>
        <w:spacing w:line="460" w:lineRule="exact"/>
        <w:ind w:firstLine="442" w:firstLineChars="200"/>
        <w:contextualSpacing/>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7.3.2对信用服务机构依据《江苏省企业信用评价指引（试行）》（苏信用办〔2021 ] 17号）评定为AA级及以上的投标人免交投标保证金，</w:t>
      </w:r>
      <w:r>
        <w:rPr>
          <w:rFonts w:hint="eastAsia" w:ascii="宋体" w:hAnsi="宋体" w:eastAsia="宋体"/>
          <w:b/>
          <w:bCs/>
          <w:color w:val="auto"/>
          <w:sz w:val="21"/>
          <w:szCs w:val="21"/>
          <w:highlight w:val="none"/>
        </w:rPr>
        <w:t>投标截止时间之前</w:t>
      </w:r>
      <w:r>
        <w:rPr>
          <w:rFonts w:hint="eastAsia" w:ascii="宋体" w:hAnsi="宋体" w:eastAsia="宋体"/>
          <w:b/>
          <w:bCs/>
          <w:color w:val="auto"/>
          <w:sz w:val="21"/>
          <w:szCs w:val="21"/>
          <w:highlight w:val="none"/>
          <w:lang w:val="en-US" w:eastAsia="zh-CN"/>
        </w:rPr>
        <w:t>需提供第三方信用报告原件复印件</w:t>
      </w:r>
      <w:r>
        <w:rPr>
          <w:rFonts w:hint="eastAsia" w:ascii="宋体" w:hAnsi="宋体" w:eastAsia="宋体"/>
          <w:b/>
          <w:bCs/>
          <w:color w:val="auto"/>
          <w:sz w:val="21"/>
          <w:szCs w:val="21"/>
          <w:highlight w:val="none"/>
        </w:rPr>
        <w:t>至开标现场交工作人员核验</w:t>
      </w:r>
      <w:r>
        <w:rPr>
          <w:rFonts w:hint="eastAsia" w:ascii="宋体" w:hAnsi="宋体" w:eastAsia="宋体"/>
          <w:color w:val="auto"/>
          <w:sz w:val="21"/>
          <w:szCs w:val="21"/>
          <w:highlight w:val="none"/>
          <w:lang w:val="en-US" w:eastAsia="zh-CN"/>
        </w:rPr>
        <w:t>，且信用报告概述页等内容通过“信用盐城网”可查证。</w:t>
      </w:r>
    </w:p>
    <w:p w14:paraId="5DB44FBC">
      <w:pPr>
        <w:tabs>
          <w:tab w:val="left" w:pos="790"/>
        </w:tabs>
        <w:spacing w:line="460" w:lineRule="exact"/>
        <w:ind w:firstLine="442" w:firstLineChars="200"/>
        <w:contextualSpacing/>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7.3.3信用承诺替代投标保证金。本项目接受投标人以“投标保证金信用承诺函”方式替代投标保证金，</w:t>
      </w:r>
      <w:r>
        <w:rPr>
          <w:rFonts w:hint="eastAsia" w:ascii="宋体" w:hAnsi="宋体" w:eastAsia="宋体"/>
          <w:b/>
          <w:bCs/>
          <w:color w:val="auto"/>
          <w:sz w:val="21"/>
          <w:szCs w:val="21"/>
          <w:highlight w:val="none"/>
          <w:lang w:val="en-US" w:eastAsia="zh-CN"/>
        </w:rPr>
        <w:t>投标保证金信用承诺函在</w:t>
      </w:r>
      <w:r>
        <w:rPr>
          <w:rFonts w:hint="eastAsia" w:ascii="宋体" w:hAnsi="宋体" w:eastAsia="宋体"/>
          <w:b/>
          <w:bCs/>
          <w:color w:val="auto"/>
          <w:sz w:val="21"/>
          <w:szCs w:val="21"/>
          <w:highlight w:val="none"/>
        </w:rPr>
        <w:t>投标截止时间之前</w:t>
      </w:r>
      <w:r>
        <w:rPr>
          <w:rFonts w:hint="eastAsia" w:ascii="宋体" w:hAnsi="宋体" w:eastAsia="宋体"/>
          <w:b/>
          <w:bCs/>
          <w:color w:val="auto"/>
          <w:sz w:val="21"/>
          <w:szCs w:val="21"/>
          <w:highlight w:val="none"/>
          <w:lang w:val="en-US" w:eastAsia="zh-CN"/>
        </w:rPr>
        <w:t>需提供投标保证金信用承诺函原件</w:t>
      </w:r>
      <w:r>
        <w:rPr>
          <w:rFonts w:hint="eastAsia" w:ascii="宋体" w:hAnsi="宋体" w:eastAsia="宋体"/>
          <w:b/>
          <w:bCs/>
          <w:color w:val="auto"/>
          <w:sz w:val="21"/>
          <w:szCs w:val="21"/>
          <w:highlight w:val="none"/>
        </w:rPr>
        <w:t>至开标现场交工作人员核验</w:t>
      </w:r>
      <w:r>
        <w:rPr>
          <w:rFonts w:hint="eastAsia" w:ascii="宋体" w:hAnsi="宋体" w:eastAsia="宋体"/>
          <w:color w:val="auto"/>
          <w:sz w:val="21"/>
          <w:szCs w:val="21"/>
          <w:highlight w:val="none"/>
          <w:lang w:val="en-US" w:eastAsia="zh-CN"/>
        </w:rPr>
        <w:t>，除法定例外情况，在有效期内(提交响应文件截止时间后到招标文件规定投标有效期终止前)不得撤销撤回(投标保证金信用承诺函参照附件A)。</w:t>
      </w:r>
    </w:p>
    <w:p w14:paraId="6A42575A">
      <w:pPr>
        <w:tabs>
          <w:tab w:val="left" w:pos="790"/>
        </w:tabs>
        <w:spacing w:line="460" w:lineRule="exact"/>
        <w:ind w:firstLine="442" w:firstLineChars="200"/>
        <w:contextualSpacing/>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采用投标保证金信用承诺替代投标保证金的投标人需信用良好，其中以联合体形式投标并采用信用承诺函替代投标保证金的，联合体各成员均须出具投标保证金信用承诺函。</w:t>
      </w:r>
    </w:p>
    <w:p w14:paraId="18905B53">
      <w:pPr>
        <w:tabs>
          <w:tab w:val="left" w:pos="790"/>
        </w:tabs>
        <w:spacing w:line="460" w:lineRule="exact"/>
        <w:ind w:firstLine="442" w:firstLineChars="200"/>
        <w:contextualSpacing/>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在我市公共资源交易领域存在履约不良行为，并在被记录有效期内的投标人，自动丧失在全市建设项目招投标中使用“投标保证金信用承诺函”资格，全市建设项目招标人均可拒绝接受其使用“投标保证金信用承诺函”。</w:t>
      </w:r>
    </w:p>
    <w:p w14:paraId="21A89F97">
      <w:pPr>
        <w:tabs>
          <w:tab w:val="left" w:pos="790"/>
        </w:tabs>
        <w:spacing w:line="460" w:lineRule="exact"/>
        <w:ind w:firstLine="442" w:firstLineChars="200"/>
        <w:contextualSpacing/>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采用信用承诺替代投标保证金的，不免除投标人违法、违规、违约责任的义务。</w:t>
      </w:r>
    </w:p>
    <w:p w14:paraId="11C98887">
      <w:pPr>
        <w:tabs>
          <w:tab w:val="left" w:pos="790"/>
        </w:tabs>
        <w:spacing w:line="460" w:lineRule="exact"/>
        <w:ind w:firstLine="442" w:firstLineChars="200"/>
        <w:contextualSpacing/>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7.3.4</w:t>
      </w:r>
      <w:r>
        <w:rPr>
          <w:rFonts w:hint="eastAsia" w:ascii="宋体" w:hAnsi="宋体" w:eastAsia="宋体"/>
          <w:color w:val="auto"/>
          <w:sz w:val="21"/>
          <w:szCs w:val="21"/>
          <w:highlight w:val="none"/>
        </w:rPr>
        <w:t>未按上述要求交纳投标保证金的，经评标委员会认定后，其</w:t>
      </w:r>
      <w:r>
        <w:rPr>
          <w:rFonts w:hint="eastAsia" w:ascii="宋体" w:hAnsi="宋体" w:eastAsia="宋体"/>
          <w:color w:val="auto"/>
          <w:sz w:val="21"/>
          <w:szCs w:val="21"/>
          <w:highlight w:val="none"/>
          <w:lang w:eastAsia="zh-CN"/>
        </w:rPr>
        <w:t>响应文件</w:t>
      </w:r>
      <w:r>
        <w:rPr>
          <w:rFonts w:hint="eastAsia" w:ascii="宋体" w:hAnsi="宋体" w:eastAsia="宋体"/>
          <w:color w:val="auto"/>
          <w:sz w:val="21"/>
          <w:szCs w:val="21"/>
          <w:highlight w:val="none"/>
        </w:rPr>
        <w:t>为无效</w:t>
      </w:r>
      <w:r>
        <w:rPr>
          <w:rFonts w:hint="eastAsia" w:ascii="宋体" w:hAnsi="宋体" w:eastAsia="宋体"/>
          <w:color w:val="auto"/>
          <w:sz w:val="21"/>
          <w:szCs w:val="21"/>
          <w:highlight w:val="none"/>
          <w:lang w:eastAsia="zh-CN"/>
        </w:rPr>
        <w:t>响应文件</w:t>
      </w:r>
      <w:r>
        <w:rPr>
          <w:rFonts w:hint="eastAsia" w:ascii="宋体" w:hAnsi="宋体" w:eastAsia="宋体"/>
          <w:color w:val="auto"/>
          <w:sz w:val="21"/>
          <w:szCs w:val="21"/>
          <w:highlight w:val="none"/>
        </w:rPr>
        <w:t>。</w:t>
      </w:r>
    </w:p>
    <w:p w14:paraId="0380952E">
      <w:pPr>
        <w:tabs>
          <w:tab w:val="left" w:pos="790"/>
        </w:tabs>
        <w:spacing w:line="460" w:lineRule="exact"/>
        <w:ind w:firstLine="442" w:firstLineChars="200"/>
        <w:contextualSpacing/>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特别提醒：以个人、企业的办事处、分公司、子公司名义或从他人账户、投标人企业的其他账户缴纳的投标保证金无效。</w:t>
      </w:r>
    </w:p>
    <w:p w14:paraId="3B3C20DD">
      <w:pPr>
        <w:tabs>
          <w:tab w:val="left" w:pos="790"/>
        </w:tabs>
        <w:spacing w:line="460" w:lineRule="exact"/>
        <w:ind w:firstLine="442" w:firstLineChars="200"/>
        <w:contextualSpacing/>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7.4投标保证金的退还：</w:t>
      </w:r>
    </w:p>
    <w:p w14:paraId="5D6E1D04">
      <w:pPr>
        <w:tabs>
          <w:tab w:val="left" w:pos="790"/>
        </w:tabs>
        <w:spacing w:line="460" w:lineRule="exact"/>
        <w:ind w:firstLine="442" w:firstLineChars="200"/>
        <w:contextualSpacing/>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有投诉(异议)的项目，所有</w:t>
      </w:r>
      <w:r>
        <w:rPr>
          <w:rFonts w:hint="eastAsia" w:ascii="宋体" w:hAnsi="宋体" w:eastAsia="宋体"/>
          <w:color w:val="auto"/>
          <w:sz w:val="21"/>
          <w:szCs w:val="21"/>
          <w:highlight w:val="none"/>
        </w:rPr>
        <w:t>投标人投标保证金一律暂不退还。</w:t>
      </w:r>
    </w:p>
    <w:p w14:paraId="67CC8826">
      <w:pPr>
        <w:tabs>
          <w:tab w:val="left" w:pos="790"/>
        </w:tabs>
        <w:spacing w:line="460" w:lineRule="exact"/>
        <w:ind w:firstLine="442" w:firstLineChars="200"/>
        <w:contextualSpacing/>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因恶意投诉（异议）的、利用保密信息投诉的及投诉（异议）不实的投诉行为被通报的，自通报之日起6个月内，投诉（异议）人所有投标项目的投标保证金在招标项目签订合同后予以退还。</w:t>
      </w:r>
    </w:p>
    <w:p w14:paraId="30C20238">
      <w:pPr>
        <w:tabs>
          <w:tab w:val="left" w:pos="790"/>
        </w:tabs>
        <w:spacing w:line="460" w:lineRule="exact"/>
        <w:ind w:firstLine="442" w:firstLineChars="200"/>
        <w:contextualSpacing/>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投诉人故意捏造事实、伪造证明材料或者以非法手段取得证明材料进行投诉的给他人造成的损失的，投诉人依法承担赔偿责任。招标人直接扣减相应数额，确认应予退还保证金的数额，并经监管机关存档后，办理退款手续。</w:t>
      </w:r>
    </w:p>
    <w:p w14:paraId="13E7E6DE">
      <w:pPr>
        <w:tabs>
          <w:tab w:val="left" w:pos="790"/>
        </w:tabs>
        <w:spacing w:line="460" w:lineRule="exact"/>
        <w:ind w:firstLine="442" w:firstLineChars="200"/>
        <w:contextualSpacing/>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7</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5</w:t>
      </w:r>
      <w:r>
        <w:rPr>
          <w:rFonts w:hint="eastAsia" w:ascii="宋体" w:hAnsi="宋体" w:eastAsia="宋体"/>
          <w:color w:val="auto"/>
          <w:sz w:val="21"/>
          <w:szCs w:val="21"/>
          <w:highlight w:val="none"/>
        </w:rPr>
        <w:t>保证金退还时间：</w:t>
      </w:r>
    </w:p>
    <w:p w14:paraId="7E8EE772">
      <w:pPr>
        <w:tabs>
          <w:tab w:val="left" w:pos="790"/>
        </w:tabs>
        <w:spacing w:line="460" w:lineRule="exact"/>
        <w:ind w:firstLine="442" w:firstLineChars="200"/>
        <w:contextualSpacing/>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如无投诉等特殊情况，</w:t>
      </w:r>
      <w:r>
        <w:rPr>
          <w:rFonts w:hint="eastAsia" w:ascii="宋体" w:hAnsi="宋体" w:eastAsia="宋体"/>
          <w:color w:val="auto"/>
          <w:sz w:val="21"/>
          <w:szCs w:val="21"/>
          <w:highlight w:val="none"/>
          <w:lang w:val="en-US" w:eastAsia="zh-CN"/>
        </w:rPr>
        <w:t>评标结束</w:t>
      </w:r>
      <w:r>
        <w:rPr>
          <w:rFonts w:hint="eastAsia" w:ascii="宋体" w:hAnsi="宋体" w:eastAsia="宋体"/>
          <w:color w:val="auto"/>
          <w:sz w:val="21"/>
          <w:szCs w:val="21"/>
          <w:highlight w:val="none"/>
        </w:rPr>
        <w:t>后7个工作日内，退还非中标人的投标保证金。中标人投标保证金在</w:t>
      </w:r>
      <w:r>
        <w:rPr>
          <w:rFonts w:hint="eastAsia" w:ascii="宋体" w:hAnsi="宋体" w:eastAsia="宋体"/>
          <w:color w:val="auto"/>
          <w:sz w:val="21"/>
          <w:szCs w:val="21"/>
          <w:highlight w:val="none"/>
          <w:lang w:val="en-US" w:eastAsia="zh-CN"/>
        </w:rPr>
        <w:t>缴纳合同签订</w:t>
      </w:r>
      <w:r>
        <w:rPr>
          <w:rFonts w:hint="eastAsia" w:ascii="宋体" w:hAnsi="宋体" w:eastAsia="宋体"/>
          <w:color w:val="auto"/>
          <w:sz w:val="21"/>
          <w:szCs w:val="21"/>
          <w:highlight w:val="none"/>
        </w:rPr>
        <w:t>后无息退还。</w:t>
      </w:r>
    </w:p>
    <w:p w14:paraId="368273A4">
      <w:pPr>
        <w:tabs>
          <w:tab w:val="left" w:pos="790"/>
        </w:tabs>
        <w:spacing w:line="460" w:lineRule="exact"/>
        <w:ind w:firstLine="442" w:firstLineChars="200"/>
        <w:contextualSpacing/>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7</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6</w:t>
      </w:r>
      <w:r>
        <w:rPr>
          <w:rFonts w:hint="eastAsia" w:ascii="宋体" w:hAnsi="宋体" w:eastAsia="宋体"/>
          <w:color w:val="auto"/>
          <w:sz w:val="21"/>
          <w:szCs w:val="21"/>
          <w:highlight w:val="none"/>
        </w:rPr>
        <w:t xml:space="preserve">有下列情形之一的，投标保证金将不予退还： </w:t>
      </w:r>
    </w:p>
    <w:p w14:paraId="7AD9F128">
      <w:pPr>
        <w:tabs>
          <w:tab w:val="left" w:pos="790"/>
        </w:tabs>
        <w:spacing w:line="460" w:lineRule="exact"/>
        <w:ind w:firstLine="442" w:firstLineChars="200"/>
        <w:contextualSpacing/>
        <w:rPr>
          <w:rFonts w:hint="eastAsia" w:ascii="宋体" w:hAnsi="宋体" w:eastAsia="宋体"/>
          <w:color w:val="auto"/>
          <w:sz w:val="21"/>
          <w:szCs w:val="21"/>
          <w:highlight w:val="none"/>
        </w:rPr>
      </w:pPr>
      <w:r>
        <w:rPr>
          <w:rFonts w:hint="eastAsia" w:ascii="宋体" w:hAnsi="宋体" w:eastAsia="宋体"/>
          <w:color w:val="auto"/>
          <w:sz w:val="21"/>
          <w:szCs w:val="21"/>
          <w:highlight w:val="none"/>
        </w:rPr>
        <w:t>①投标人在规定的投标有效期内撤销或修改其</w:t>
      </w:r>
      <w:r>
        <w:rPr>
          <w:rFonts w:hint="eastAsia" w:ascii="宋体" w:hAnsi="宋体" w:eastAsia="宋体"/>
          <w:color w:val="auto"/>
          <w:sz w:val="21"/>
          <w:szCs w:val="21"/>
          <w:highlight w:val="none"/>
          <w:lang w:eastAsia="zh-CN"/>
        </w:rPr>
        <w:t>响应文件</w:t>
      </w:r>
      <w:r>
        <w:rPr>
          <w:rFonts w:hint="eastAsia" w:ascii="宋体" w:hAnsi="宋体" w:eastAsia="宋体"/>
          <w:color w:val="auto"/>
          <w:sz w:val="21"/>
          <w:szCs w:val="21"/>
          <w:highlight w:val="none"/>
        </w:rPr>
        <w:t>的；</w:t>
      </w:r>
    </w:p>
    <w:p w14:paraId="6D0AF636">
      <w:pPr>
        <w:tabs>
          <w:tab w:val="left" w:pos="790"/>
        </w:tabs>
        <w:spacing w:line="460" w:lineRule="exact"/>
        <w:ind w:firstLine="442" w:firstLineChars="200"/>
        <w:contextualSpacing/>
        <w:rPr>
          <w:rFonts w:hint="eastAsia" w:ascii="宋体" w:hAnsi="宋体" w:eastAsia="宋体"/>
          <w:color w:val="auto"/>
          <w:sz w:val="21"/>
          <w:szCs w:val="21"/>
          <w:highlight w:val="none"/>
        </w:rPr>
      </w:pPr>
      <w:r>
        <w:rPr>
          <w:rFonts w:hint="eastAsia" w:ascii="宋体" w:hAnsi="宋体" w:eastAsia="宋体"/>
          <w:color w:val="auto"/>
          <w:sz w:val="21"/>
          <w:szCs w:val="21"/>
          <w:highlight w:val="none"/>
        </w:rPr>
        <w:t>②中标人无正当理由拒绝签订合同；</w:t>
      </w:r>
    </w:p>
    <w:p w14:paraId="09C6802F">
      <w:pPr>
        <w:tabs>
          <w:tab w:val="left" w:pos="790"/>
        </w:tabs>
        <w:spacing w:line="460" w:lineRule="exact"/>
        <w:ind w:firstLine="442" w:firstLineChars="200"/>
        <w:contextualSpacing/>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③中标人弄虚作假骗取中标，其他投标虚假、恶意投诉或反映，干扰招投标活动的</w:t>
      </w:r>
      <w:r>
        <w:rPr>
          <w:rFonts w:hint="eastAsia" w:ascii="宋体" w:hAnsi="宋体" w:eastAsia="宋体"/>
          <w:color w:val="auto"/>
          <w:sz w:val="21"/>
          <w:szCs w:val="21"/>
          <w:highlight w:val="none"/>
          <w:lang w:eastAsia="zh-CN"/>
        </w:rPr>
        <w:t>。</w:t>
      </w:r>
    </w:p>
    <w:p w14:paraId="580F978C">
      <w:pPr>
        <w:spacing w:line="460" w:lineRule="exact"/>
        <w:ind w:firstLine="442" w:firstLineChars="200"/>
        <w:contextualSpacing/>
        <w:rPr>
          <w:rFonts w:hint="eastAsia" w:ascii="宋体" w:hAnsi="宋体" w:eastAsia="宋体"/>
          <w:b/>
          <w:color w:val="auto"/>
          <w:sz w:val="21"/>
          <w:szCs w:val="21"/>
          <w:highlight w:val="none"/>
          <w:lang w:val="en-US" w:eastAsia="zh-CN"/>
        </w:rPr>
      </w:pPr>
      <w:r>
        <w:rPr>
          <w:rFonts w:hint="eastAsia" w:ascii="宋体" w:hAnsi="宋体" w:eastAsia="宋体"/>
          <w:b/>
          <w:color w:val="auto"/>
          <w:sz w:val="21"/>
          <w:szCs w:val="21"/>
          <w:highlight w:val="none"/>
          <w:lang w:val="en-US" w:eastAsia="zh-CN"/>
        </w:rPr>
        <w:t>8、安全、质量要求：</w:t>
      </w:r>
    </w:p>
    <w:p w14:paraId="1F7EEC60">
      <w:pPr>
        <w:tabs>
          <w:tab w:val="left" w:pos="790"/>
        </w:tabs>
        <w:spacing w:line="460" w:lineRule="exact"/>
        <w:ind w:firstLine="442" w:firstLineChars="200"/>
        <w:contextualSpacing/>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项目实施必须确保安全，中标人自行承担项目实施过程中的质量、任何状况下的安全责任。非招标人原因，发生的一切问题和责任与招标人无关，相关一切费用或民事、刑事责任均由中标人自理。若中标人不能及时处理所发生的问题和责任，并且影响到项目进度时，招标人有权处理相关事务，所发生的费用在支付合同款时扣除。</w:t>
      </w:r>
    </w:p>
    <w:p w14:paraId="68A082B8">
      <w:pPr>
        <w:spacing w:line="460" w:lineRule="exact"/>
        <w:ind w:firstLine="442" w:firstLineChars="200"/>
        <w:contextualSpacing/>
        <w:rPr>
          <w:rFonts w:ascii="宋体" w:hAnsi="宋体" w:eastAsia="宋体"/>
          <w:b/>
          <w:color w:val="auto"/>
          <w:sz w:val="21"/>
          <w:szCs w:val="21"/>
          <w:highlight w:val="none"/>
        </w:rPr>
      </w:pPr>
      <w:r>
        <w:rPr>
          <w:rFonts w:hint="eastAsia" w:ascii="宋体" w:hAnsi="宋体" w:eastAsia="宋体"/>
          <w:b/>
          <w:color w:val="auto"/>
          <w:sz w:val="21"/>
          <w:szCs w:val="21"/>
          <w:highlight w:val="none"/>
        </w:rPr>
        <w:t>9、投标报价</w:t>
      </w:r>
    </w:p>
    <w:p w14:paraId="7BA88B02">
      <w:pPr>
        <w:spacing w:line="460" w:lineRule="exact"/>
        <w:ind w:firstLine="442" w:firstLineChars="200"/>
        <w:contextualSpacing/>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9.1 投标报价的依据</w:t>
      </w:r>
    </w:p>
    <w:p w14:paraId="45E06D2F">
      <w:pPr>
        <w:spacing w:line="460" w:lineRule="exact"/>
        <w:ind w:firstLine="442" w:firstLineChars="200"/>
        <w:contextualSpacing/>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9.1.1 投标人根据市场行情自行考虑，中标后市场风险自行承担。</w:t>
      </w:r>
    </w:p>
    <w:p w14:paraId="081E3A8D">
      <w:pPr>
        <w:spacing w:line="460" w:lineRule="exact"/>
        <w:ind w:firstLine="442" w:firstLineChars="200"/>
        <w:contextualSpacing/>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9.1.2 投标报价时还应考虑合同付款支付情况、银行利息等财务费用，招标人不再另外支付任何费用，请投标人一律在报价中考虑。</w:t>
      </w:r>
    </w:p>
    <w:p w14:paraId="58445FED">
      <w:pPr>
        <w:spacing w:line="460" w:lineRule="exact"/>
        <w:ind w:firstLine="442" w:firstLineChars="200"/>
        <w:contextualSpacing/>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9.2投标报价方式和范围</w:t>
      </w:r>
    </w:p>
    <w:p w14:paraId="5E20BE70">
      <w:pPr>
        <w:spacing w:line="460" w:lineRule="exact"/>
        <w:ind w:firstLine="442" w:firstLineChars="200"/>
        <w:contextualSpacing/>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9.2.1本项目计价方式为“全费用综合单价”，单价包含招标范围内的全部服务工作内容所发生的一切费用。包括但不仅限于投标人为完成本工程（含货物清单）确定的招标范围内的所有工作内容的人工费、材料价格、包装费、运输费、检测、验收、交货（卸货至指定地点并承担卸货费）、安装费、保险费、售前售后服务费、相关资料费、管理费、利润、规费、现场协调、现场配合验收、因质量问题引起的更换、税金【投标报价时统一按13%（附加税按相关规定执行）计取并分摊至综合单价中，实际开具的增值税专票税率低于13%部分的差额甲方结算时予以扣除】及市场风险、国家政策性调整风险、不可预见费及其验收合格前相关的所有费用的价格体现。清单中未列明的设备、参数及相关附属的产品、软件、辅材等所有影响正常运行使用的相关的费用，投标人须自行考虑在投标报价中，凡漏项或少计均视为优惠，招标人不另行增加费用。各类风险和政策性调整等风险已包括在投标报价中，最终结算时除合同约定调整外一律不予调整。</w:t>
      </w:r>
    </w:p>
    <w:p w14:paraId="6C670133">
      <w:pPr>
        <w:spacing w:line="460" w:lineRule="exact"/>
        <w:ind w:firstLine="442" w:firstLineChars="200"/>
        <w:contextualSpacing/>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9.2.2投标报价统一采用人民币作为计量单位，并且精确到元、角、分(精确到小数点后二位数)。</w:t>
      </w:r>
    </w:p>
    <w:p w14:paraId="114A967D">
      <w:pPr>
        <w:spacing w:line="460" w:lineRule="exact"/>
        <w:ind w:firstLine="442" w:firstLineChars="200"/>
        <w:contextualSpacing/>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9.2.3谈判小组发现单价与数量之积和总价不符，可要求投标人澄清，以单价为准，单价有明显小数点错误的除外。如评标委员会评审时未发现单价与数量之积和总价不符，投标人中标后，按有利于招标人的原则修正总价或单价。项目结算时，工程量按实结算，除合同约定调整外，一律不调整中标全费用综合单价。</w:t>
      </w:r>
    </w:p>
    <w:p w14:paraId="53F75360">
      <w:pPr>
        <w:spacing w:line="460" w:lineRule="exact"/>
        <w:ind w:firstLine="442" w:firstLineChars="200"/>
        <w:contextualSpacing/>
        <w:rPr>
          <w:rFonts w:ascii="宋体" w:hAnsi="宋体" w:eastAsia="宋体"/>
          <w:b/>
          <w:color w:val="auto"/>
          <w:sz w:val="21"/>
          <w:szCs w:val="21"/>
          <w:highlight w:val="none"/>
        </w:rPr>
      </w:pPr>
      <w:r>
        <w:rPr>
          <w:rFonts w:ascii="宋体" w:hAnsi="宋体" w:eastAsia="宋体"/>
          <w:b/>
          <w:color w:val="auto"/>
          <w:sz w:val="21"/>
          <w:szCs w:val="21"/>
          <w:highlight w:val="none"/>
        </w:rPr>
        <w:t>10</w:t>
      </w:r>
      <w:r>
        <w:rPr>
          <w:rFonts w:hint="eastAsia" w:ascii="宋体" w:hAnsi="宋体" w:eastAsia="宋体"/>
          <w:b/>
          <w:color w:val="auto"/>
          <w:sz w:val="21"/>
          <w:szCs w:val="21"/>
          <w:highlight w:val="none"/>
        </w:rPr>
        <w:t>、招标控制价</w:t>
      </w:r>
    </w:p>
    <w:p w14:paraId="610507B4">
      <w:pPr>
        <w:spacing w:line="460" w:lineRule="exact"/>
        <w:ind w:firstLine="442" w:firstLineChars="200"/>
        <w:contextualSpacing/>
        <w:rPr>
          <w:rFonts w:ascii="宋体" w:hAnsi="宋体" w:eastAsia="宋体"/>
          <w:b/>
          <w:bCs/>
          <w:color w:val="auto"/>
          <w:sz w:val="21"/>
          <w:szCs w:val="21"/>
          <w:highlight w:val="none"/>
          <w:u w:val="single"/>
        </w:rPr>
      </w:pPr>
      <w:r>
        <w:rPr>
          <w:rFonts w:ascii="宋体" w:hAnsi="宋体" w:eastAsia="宋体"/>
          <w:color w:val="auto"/>
          <w:sz w:val="21"/>
          <w:szCs w:val="21"/>
          <w:highlight w:val="none"/>
        </w:rPr>
        <w:t>10</w:t>
      </w:r>
      <w:r>
        <w:rPr>
          <w:rFonts w:hint="eastAsia" w:ascii="宋体" w:hAnsi="宋体" w:eastAsia="宋体"/>
          <w:color w:val="auto"/>
          <w:sz w:val="21"/>
          <w:szCs w:val="21"/>
          <w:highlight w:val="none"/>
        </w:rPr>
        <w:t>.1本</w:t>
      </w:r>
      <w:r>
        <w:rPr>
          <w:rFonts w:hint="eastAsia" w:ascii="宋体" w:hAnsi="宋体" w:eastAsia="宋体"/>
          <w:color w:val="auto"/>
          <w:sz w:val="21"/>
          <w:szCs w:val="21"/>
          <w:highlight w:val="none"/>
          <w:lang w:val="en-US" w:eastAsia="zh-CN"/>
        </w:rPr>
        <w:t>项目</w:t>
      </w:r>
      <w:r>
        <w:rPr>
          <w:rFonts w:hint="eastAsia" w:ascii="宋体" w:hAnsi="宋体" w:eastAsia="宋体"/>
          <w:color w:val="auto"/>
          <w:sz w:val="21"/>
          <w:szCs w:val="21"/>
          <w:highlight w:val="none"/>
        </w:rPr>
        <w:t>设定</w:t>
      </w:r>
      <w:r>
        <w:rPr>
          <w:rFonts w:hint="eastAsia" w:ascii="宋体" w:hAnsi="宋体" w:eastAsia="宋体"/>
          <w:color w:val="auto"/>
          <w:sz w:val="21"/>
          <w:szCs w:val="21"/>
          <w:highlight w:val="none"/>
          <w:lang w:val="en-US" w:eastAsia="zh-CN"/>
        </w:rPr>
        <w:t>最高投标限价</w:t>
      </w:r>
      <w:r>
        <w:rPr>
          <w:rFonts w:hint="eastAsia" w:ascii="宋体" w:hAnsi="宋体" w:eastAsia="宋体"/>
          <w:color w:val="auto"/>
          <w:sz w:val="21"/>
          <w:szCs w:val="21"/>
          <w:highlight w:val="none"/>
        </w:rPr>
        <w:t>为</w:t>
      </w:r>
      <w:r>
        <w:rPr>
          <w:rFonts w:hint="eastAsia" w:ascii="宋体" w:hAnsi="宋体" w:eastAsia="宋体"/>
          <w:color w:val="auto"/>
          <w:sz w:val="21"/>
          <w:szCs w:val="21"/>
          <w:highlight w:val="none"/>
          <w:u w:val="single"/>
          <w:lang w:val="en-US" w:eastAsia="zh-CN"/>
        </w:rPr>
        <w:t xml:space="preserve"> 258000.00 </w:t>
      </w:r>
      <w:r>
        <w:rPr>
          <w:rFonts w:hint="eastAsia" w:ascii="宋体" w:hAnsi="宋体" w:eastAsia="宋体"/>
          <w:b/>
          <w:bCs/>
          <w:color w:val="auto"/>
          <w:sz w:val="21"/>
          <w:szCs w:val="21"/>
          <w:highlight w:val="none"/>
        </w:rPr>
        <w:t>元</w:t>
      </w:r>
      <w:r>
        <w:rPr>
          <w:rFonts w:hint="eastAsia" w:ascii="宋体" w:hAnsi="宋体" w:eastAsia="宋体"/>
          <w:color w:val="auto"/>
          <w:sz w:val="21"/>
          <w:szCs w:val="21"/>
          <w:highlight w:val="none"/>
        </w:rPr>
        <w:t>。</w:t>
      </w:r>
    </w:p>
    <w:p w14:paraId="2790CE0F">
      <w:pPr>
        <w:spacing w:line="460" w:lineRule="exact"/>
        <w:ind w:firstLine="442" w:firstLineChars="200"/>
        <w:contextualSpacing/>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10.2 招标人将拒绝高于</w:t>
      </w:r>
      <w:r>
        <w:rPr>
          <w:rFonts w:hint="eastAsia" w:ascii="宋体" w:hAnsi="宋体" w:eastAsia="宋体" w:cs="Times New Roman"/>
          <w:color w:val="auto"/>
          <w:sz w:val="21"/>
          <w:szCs w:val="21"/>
          <w:highlight w:val="none"/>
          <w:lang w:eastAsia="zh-CN"/>
        </w:rPr>
        <w:t>最高投标限价</w:t>
      </w:r>
      <w:r>
        <w:rPr>
          <w:rFonts w:hint="eastAsia" w:ascii="宋体" w:hAnsi="宋体" w:eastAsia="宋体" w:cs="Times New Roman"/>
          <w:color w:val="auto"/>
          <w:sz w:val="21"/>
          <w:szCs w:val="21"/>
          <w:highlight w:val="none"/>
        </w:rPr>
        <w:t>的投标报价。各投标人必须在</w:t>
      </w:r>
      <w:r>
        <w:rPr>
          <w:rFonts w:hint="eastAsia" w:ascii="宋体" w:hAnsi="宋体" w:eastAsia="宋体" w:cs="Times New Roman"/>
          <w:color w:val="auto"/>
          <w:sz w:val="21"/>
          <w:szCs w:val="21"/>
          <w:highlight w:val="none"/>
          <w:lang w:eastAsia="zh-CN"/>
        </w:rPr>
        <w:t>最高投标限价</w:t>
      </w:r>
      <w:r>
        <w:rPr>
          <w:rFonts w:hint="eastAsia" w:ascii="宋体" w:hAnsi="宋体" w:eastAsia="宋体" w:cs="Times New Roman"/>
          <w:color w:val="auto"/>
          <w:sz w:val="21"/>
          <w:szCs w:val="21"/>
          <w:highlight w:val="none"/>
        </w:rPr>
        <w:t>以下进行投标报价，高于</w:t>
      </w:r>
      <w:r>
        <w:rPr>
          <w:rFonts w:hint="eastAsia" w:ascii="宋体" w:hAnsi="宋体" w:eastAsia="宋体" w:cs="Times New Roman"/>
          <w:color w:val="auto"/>
          <w:sz w:val="21"/>
          <w:szCs w:val="21"/>
          <w:highlight w:val="none"/>
          <w:lang w:eastAsia="zh-CN"/>
        </w:rPr>
        <w:t>最高投标限价</w:t>
      </w:r>
      <w:r>
        <w:rPr>
          <w:rFonts w:hint="eastAsia" w:ascii="宋体" w:hAnsi="宋体" w:eastAsia="宋体" w:cs="Times New Roman"/>
          <w:color w:val="auto"/>
          <w:sz w:val="21"/>
          <w:szCs w:val="21"/>
          <w:highlight w:val="none"/>
        </w:rPr>
        <w:t>的投标报价，招标人将不予接受，视为无效标书。</w:t>
      </w:r>
    </w:p>
    <w:p w14:paraId="29CFCFB5">
      <w:pPr>
        <w:spacing w:line="460" w:lineRule="exact"/>
        <w:ind w:firstLine="442" w:firstLineChars="200"/>
        <w:contextualSpacing/>
        <w:rPr>
          <w:rFonts w:ascii="宋体" w:hAnsi="宋体" w:eastAsia="宋体"/>
          <w:b/>
          <w:color w:val="auto"/>
          <w:sz w:val="21"/>
          <w:szCs w:val="21"/>
          <w:highlight w:val="none"/>
        </w:rPr>
      </w:pPr>
      <w:r>
        <w:rPr>
          <w:rFonts w:hint="eastAsia" w:ascii="宋体" w:hAnsi="宋体" w:eastAsia="宋体"/>
          <w:b/>
          <w:color w:val="auto"/>
          <w:sz w:val="21"/>
          <w:szCs w:val="21"/>
          <w:highlight w:val="none"/>
        </w:rPr>
        <w:t>1</w:t>
      </w:r>
      <w:r>
        <w:rPr>
          <w:rFonts w:hint="eastAsia" w:ascii="宋体" w:hAnsi="宋体" w:eastAsia="宋体"/>
          <w:b/>
          <w:color w:val="auto"/>
          <w:sz w:val="21"/>
          <w:szCs w:val="21"/>
          <w:highlight w:val="none"/>
          <w:lang w:val="en-US" w:eastAsia="zh-CN"/>
        </w:rPr>
        <w:t>1</w:t>
      </w:r>
      <w:r>
        <w:rPr>
          <w:rFonts w:hint="eastAsia" w:ascii="宋体" w:hAnsi="宋体" w:eastAsia="宋体"/>
          <w:b/>
          <w:color w:val="auto"/>
          <w:sz w:val="21"/>
          <w:szCs w:val="21"/>
          <w:highlight w:val="none"/>
        </w:rPr>
        <w:t>、</w:t>
      </w:r>
      <w:r>
        <w:rPr>
          <w:rFonts w:hint="eastAsia" w:ascii="宋体" w:hAnsi="宋体" w:eastAsia="宋体"/>
          <w:b/>
          <w:color w:val="auto"/>
          <w:sz w:val="21"/>
          <w:szCs w:val="21"/>
          <w:highlight w:val="none"/>
          <w:lang w:eastAsia="zh-CN"/>
        </w:rPr>
        <w:t>响应文件</w:t>
      </w:r>
      <w:r>
        <w:rPr>
          <w:rFonts w:hint="eastAsia" w:ascii="宋体" w:hAnsi="宋体" w:eastAsia="宋体"/>
          <w:b/>
          <w:color w:val="auto"/>
          <w:sz w:val="21"/>
          <w:szCs w:val="21"/>
          <w:highlight w:val="none"/>
        </w:rPr>
        <w:t>的编制</w:t>
      </w:r>
    </w:p>
    <w:p w14:paraId="1BBB3559">
      <w:pPr>
        <w:spacing w:line="460" w:lineRule="exact"/>
        <w:ind w:firstLine="442"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投标人应认真仔细阅读谈判文件的所有内容，未按谈判文件的要求编制的文件将被拒绝。 </w:t>
      </w:r>
    </w:p>
    <w:p w14:paraId="0D6028E9">
      <w:pPr>
        <w:spacing w:line="460" w:lineRule="exact"/>
        <w:ind w:firstLine="442" w:firstLineChars="200"/>
        <w:contextualSpacing/>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响应文件为正本一份，副本三份。</w:t>
      </w:r>
    </w:p>
    <w:p w14:paraId="6E0397C3">
      <w:pPr>
        <w:spacing w:line="460" w:lineRule="exact"/>
        <w:ind w:firstLine="442"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.1.1法定代表人身份证明书；</w:t>
      </w:r>
    </w:p>
    <w:p w14:paraId="6CADEF9C">
      <w:pPr>
        <w:spacing w:line="460" w:lineRule="exact"/>
        <w:ind w:firstLine="442" w:firstLineChars="200"/>
        <w:contextualSpacing/>
        <w:rPr>
          <w:rFonts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11</w:t>
      </w:r>
      <w:r>
        <w:rPr>
          <w:rFonts w:hint="eastAsia" w:ascii="宋体" w:hAnsi="宋体" w:eastAsia="宋体"/>
          <w:bCs/>
          <w:color w:val="auto"/>
          <w:sz w:val="21"/>
          <w:szCs w:val="21"/>
          <w:highlight w:val="none"/>
        </w:rPr>
        <w:t>.1.2 授权委托书（如有授权）；</w:t>
      </w:r>
    </w:p>
    <w:p w14:paraId="41CD01DE">
      <w:pPr>
        <w:spacing w:line="460" w:lineRule="exact"/>
        <w:ind w:firstLine="442" w:firstLineChars="200"/>
        <w:contextualSpacing/>
        <w:rPr>
          <w:rFonts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11</w:t>
      </w:r>
      <w:r>
        <w:rPr>
          <w:rFonts w:hint="eastAsia" w:ascii="宋体" w:hAnsi="宋体" w:eastAsia="宋体"/>
          <w:bCs/>
          <w:color w:val="auto"/>
          <w:sz w:val="21"/>
          <w:szCs w:val="21"/>
          <w:highlight w:val="none"/>
        </w:rPr>
        <w:t>.1.3 投标承诺书（允许另附一个详细说明）；</w:t>
      </w:r>
    </w:p>
    <w:p w14:paraId="63220E0F">
      <w:pPr>
        <w:spacing w:line="460" w:lineRule="exact"/>
        <w:ind w:firstLine="442" w:firstLineChars="200"/>
        <w:contextualSpacing/>
        <w:rPr>
          <w:rFonts w:hint="eastAsia" w:ascii="宋体" w:hAnsi="宋体" w:eastAsia="宋体"/>
          <w:bCs/>
          <w:color w:val="auto"/>
          <w:sz w:val="21"/>
          <w:szCs w:val="21"/>
          <w:highlight w:val="none"/>
          <w:lang w:eastAsia="zh-CN"/>
        </w:rPr>
      </w:pPr>
      <w:r>
        <w:rPr>
          <w:rFonts w:hint="eastAsia" w:ascii="宋体" w:hAnsi="宋体" w:eastAsia="宋体"/>
          <w:bCs/>
          <w:color w:val="auto"/>
          <w:sz w:val="21"/>
          <w:szCs w:val="21"/>
          <w:highlight w:val="none"/>
          <w:lang w:val="en-US" w:eastAsia="zh-CN"/>
        </w:rPr>
        <w:t>11</w:t>
      </w:r>
      <w:r>
        <w:rPr>
          <w:rFonts w:hint="eastAsia" w:ascii="宋体" w:hAnsi="宋体" w:eastAsia="宋体"/>
          <w:bCs/>
          <w:color w:val="auto"/>
          <w:sz w:val="21"/>
          <w:szCs w:val="21"/>
          <w:highlight w:val="none"/>
        </w:rPr>
        <w:t>.1.4 投标人</w:t>
      </w:r>
      <w:r>
        <w:rPr>
          <w:rFonts w:hint="eastAsia" w:ascii="宋体" w:hAnsi="宋体" w:eastAsia="宋体"/>
          <w:bCs/>
          <w:color w:val="auto"/>
          <w:sz w:val="21"/>
          <w:szCs w:val="21"/>
          <w:highlight w:val="none"/>
          <w:lang w:val="en-US" w:eastAsia="zh-CN"/>
        </w:rPr>
        <w:t>有效的营业执照（副本）复印件加盖投标人公章</w:t>
      </w:r>
      <w:r>
        <w:rPr>
          <w:rFonts w:hint="eastAsia" w:ascii="宋体" w:hAnsi="宋体" w:eastAsia="宋体"/>
          <w:bCs/>
          <w:color w:val="auto"/>
          <w:sz w:val="21"/>
          <w:szCs w:val="21"/>
          <w:highlight w:val="none"/>
          <w:lang w:eastAsia="zh-CN"/>
        </w:rPr>
        <w:t>；</w:t>
      </w:r>
    </w:p>
    <w:p w14:paraId="13EFD4BB">
      <w:pPr>
        <w:spacing w:line="460" w:lineRule="exact"/>
        <w:ind w:firstLine="442" w:firstLineChars="200"/>
        <w:contextualSpacing/>
        <w:rPr>
          <w:rFonts w:hint="eastAsia" w:ascii="宋体" w:hAnsi="宋体" w:eastAsia="宋体" w:cs="Times New Roman"/>
          <w:bCs/>
          <w:color w:val="auto"/>
          <w:sz w:val="21"/>
          <w:szCs w:val="21"/>
          <w:highlight w:val="none"/>
        </w:rPr>
      </w:pPr>
      <w:r>
        <w:rPr>
          <w:rFonts w:hint="eastAsia" w:ascii="宋体" w:hAnsi="宋体" w:eastAsia="宋体"/>
          <w:bCs/>
          <w:color w:val="auto"/>
          <w:sz w:val="21"/>
          <w:szCs w:val="21"/>
          <w:highlight w:val="none"/>
          <w:lang w:val="en-US" w:eastAsia="zh-CN"/>
        </w:rPr>
        <w:t>11.</w:t>
      </w:r>
      <w:r>
        <w:rPr>
          <w:rFonts w:hint="eastAsia" w:ascii="宋体" w:hAnsi="宋体" w:eastAsia="宋体" w:cs="Times New Roman"/>
          <w:bCs/>
          <w:color w:val="auto"/>
          <w:sz w:val="21"/>
          <w:szCs w:val="21"/>
          <w:highlight w:val="none"/>
          <w:lang w:val="en-US" w:eastAsia="zh-CN"/>
        </w:rPr>
        <w:t>1.5</w:t>
      </w:r>
      <w:r>
        <w:rPr>
          <w:rFonts w:hint="eastAsia" w:ascii="宋体" w:hAnsi="宋体" w:eastAsia="宋体" w:cs="Times New Roman"/>
          <w:bCs/>
          <w:color w:val="auto"/>
          <w:sz w:val="21"/>
          <w:szCs w:val="21"/>
          <w:highlight w:val="none"/>
        </w:rPr>
        <w:t>项目负责人</w:t>
      </w:r>
      <w:r>
        <w:rPr>
          <w:rFonts w:hint="eastAsia" w:ascii="宋体" w:hAnsi="宋体" w:eastAsia="宋体" w:cs="Times New Roman"/>
          <w:bCs/>
          <w:color w:val="auto"/>
          <w:sz w:val="21"/>
          <w:szCs w:val="21"/>
          <w:highlight w:val="none"/>
          <w:lang w:val="en-US" w:eastAsia="zh-CN"/>
        </w:rPr>
        <w:t>及代理人</w:t>
      </w:r>
      <w:r>
        <w:rPr>
          <w:rFonts w:hint="eastAsia" w:ascii="宋体" w:hAnsi="宋体" w:eastAsia="宋体" w:cs="Times New Roman"/>
          <w:bCs/>
          <w:color w:val="auto"/>
          <w:sz w:val="21"/>
          <w:szCs w:val="21"/>
          <w:highlight w:val="none"/>
        </w:rPr>
        <w:t>的缴纳养老保险缴费记录证明加盖</w:t>
      </w:r>
      <w:r>
        <w:rPr>
          <w:rFonts w:hint="eastAsia" w:ascii="宋体" w:hAnsi="宋体" w:eastAsia="宋体" w:cs="Times New Roman"/>
          <w:bCs/>
          <w:color w:val="auto"/>
          <w:sz w:val="21"/>
          <w:szCs w:val="21"/>
          <w:highlight w:val="none"/>
          <w:lang w:val="en-US" w:eastAsia="zh-CN"/>
        </w:rPr>
        <w:t>投标人</w:t>
      </w:r>
      <w:r>
        <w:rPr>
          <w:rFonts w:hint="eastAsia" w:ascii="宋体" w:hAnsi="宋体" w:eastAsia="宋体" w:cs="Times New Roman"/>
          <w:bCs/>
          <w:color w:val="auto"/>
          <w:sz w:val="21"/>
          <w:szCs w:val="21"/>
          <w:highlight w:val="none"/>
        </w:rPr>
        <w:t>公章</w:t>
      </w:r>
      <w:r>
        <w:rPr>
          <w:rFonts w:hint="eastAsia" w:ascii="宋体" w:hAnsi="宋体" w:eastAsia="宋体" w:cs="Times New Roman"/>
          <w:bCs/>
          <w:color w:val="auto"/>
          <w:sz w:val="21"/>
          <w:szCs w:val="21"/>
          <w:highlight w:val="none"/>
          <w:lang w:eastAsia="zh-CN"/>
        </w:rPr>
        <w:t>；</w:t>
      </w:r>
      <w:r>
        <w:rPr>
          <w:rFonts w:hint="eastAsia" w:ascii="宋体" w:hAnsi="宋体" w:eastAsia="宋体" w:cs="Times New Roman"/>
          <w:bCs/>
          <w:color w:val="auto"/>
          <w:sz w:val="21"/>
          <w:szCs w:val="21"/>
          <w:highlight w:val="none"/>
        </w:rPr>
        <w:t>（退休人员提供在本单位相关证明。）</w:t>
      </w:r>
    </w:p>
    <w:p w14:paraId="59F66690">
      <w:pPr>
        <w:spacing w:line="460" w:lineRule="exact"/>
        <w:ind w:firstLine="442" w:firstLineChars="200"/>
        <w:contextualSpacing/>
        <w:rPr>
          <w:rFonts w:hint="eastAsia" w:ascii="宋体" w:hAnsi="宋体" w:eastAsia="宋体" w:cs="Times New Roman"/>
          <w:bCs/>
          <w:color w:val="auto"/>
          <w:sz w:val="21"/>
          <w:szCs w:val="21"/>
          <w:highlight w:val="none"/>
          <w:lang w:val="en-US" w:eastAsia="zh-CN"/>
        </w:rPr>
      </w:pPr>
      <w:r>
        <w:rPr>
          <w:rFonts w:hint="eastAsia" w:ascii="宋体" w:hAnsi="宋体" w:eastAsia="宋体" w:cs="Times New Roman"/>
          <w:bCs/>
          <w:color w:val="auto"/>
          <w:sz w:val="21"/>
          <w:szCs w:val="21"/>
          <w:highlight w:val="none"/>
          <w:lang w:val="en-US" w:eastAsia="zh-CN"/>
        </w:rPr>
        <w:t>11.1.6 报价清单；</w:t>
      </w:r>
    </w:p>
    <w:p w14:paraId="18261FE8">
      <w:pPr>
        <w:spacing w:line="460" w:lineRule="exact"/>
        <w:ind w:firstLine="442" w:firstLineChars="200"/>
        <w:contextualSpacing/>
        <w:rPr>
          <w:rFonts w:hint="default" w:ascii="宋体" w:hAnsi="宋体" w:eastAsia="宋体" w:cs="Times New Roman"/>
          <w:bCs/>
          <w:color w:val="auto"/>
          <w:sz w:val="21"/>
          <w:szCs w:val="21"/>
          <w:highlight w:val="none"/>
          <w:lang w:val="en-US" w:eastAsia="zh-CN"/>
        </w:rPr>
      </w:pPr>
      <w:r>
        <w:rPr>
          <w:rFonts w:hint="eastAsia" w:ascii="宋体" w:hAnsi="宋体" w:eastAsia="宋体" w:cs="Times New Roman"/>
          <w:bCs/>
          <w:color w:val="auto"/>
          <w:sz w:val="21"/>
          <w:szCs w:val="21"/>
          <w:highlight w:val="none"/>
          <w:lang w:val="en-US" w:eastAsia="zh-CN"/>
        </w:rPr>
        <w:t>11.1.7项目需求中要求提供的产品资质证书</w:t>
      </w:r>
      <w:r>
        <w:rPr>
          <w:rFonts w:hint="eastAsia" w:ascii="宋体" w:hAnsi="宋体" w:eastAsia="宋体"/>
          <w:bCs/>
          <w:color w:val="auto"/>
          <w:sz w:val="21"/>
          <w:szCs w:val="21"/>
          <w:highlight w:val="none"/>
          <w:lang w:val="en-US" w:eastAsia="zh-CN"/>
        </w:rPr>
        <w:t>复印件加盖投标人公章</w:t>
      </w:r>
      <w:r>
        <w:rPr>
          <w:rFonts w:hint="eastAsia" w:ascii="宋体" w:hAnsi="宋体" w:eastAsia="宋体"/>
          <w:bCs/>
          <w:color w:val="auto"/>
          <w:sz w:val="21"/>
          <w:szCs w:val="21"/>
          <w:highlight w:val="none"/>
          <w:lang w:eastAsia="zh-CN"/>
        </w:rPr>
        <w:t>；</w:t>
      </w:r>
    </w:p>
    <w:p w14:paraId="42204F50">
      <w:pPr>
        <w:spacing w:line="460" w:lineRule="exact"/>
        <w:ind w:firstLine="442" w:firstLineChars="200"/>
        <w:contextualSpacing/>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11.1.</w:t>
      </w:r>
      <w:bookmarkStart w:id="0" w:name="_Hlk121428317"/>
      <w:r>
        <w:rPr>
          <w:rFonts w:hint="eastAsia" w:ascii="宋体" w:hAnsi="宋体" w:eastAsia="宋体"/>
          <w:color w:val="auto"/>
          <w:sz w:val="21"/>
          <w:szCs w:val="21"/>
          <w:highlight w:val="none"/>
          <w:lang w:val="en-US" w:eastAsia="zh-CN"/>
        </w:rPr>
        <w:t>8投标人对照招标文件及评标办法认为需要提供的其他资料</w:t>
      </w:r>
      <w:bookmarkEnd w:id="0"/>
      <w:r>
        <w:rPr>
          <w:rFonts w:hint="eastAsia" w:ascii="宋体" w:hAnsi="宋体" w:eastAsia="宋体"/>
          <w:color w:val="auto"/>
          <w:sz w:val="21"/>
          <w:szCs w:val="21"/>
          <w:highlight w:val="none"/>
          <w:lang w:val="en-US" w:eastAsia="zh-CN"/>
        </w:rPr>
        <w:t>。</w:t>
      </w:r>
    </w:p>
    <w:p w14:paraId="64EC0428">
      <w:pPr>
        <w:keepNext w:val="0"/>
        <w:keepLines w:val="0"/>
        <w:pageBreakBefore w:val="0"/>
        <w:widowControl w:val="0"/>
        <w:kinsoku/>
        <w:wordWrap/>
        <w:overflowPunct/>
        <w:topLinePunct w:val="0"/>
        <w:autoSpaceDE/>
        <w:autoSpaceDN/>
        <w:bidi w:val="0"/>
        <w:adjustRightInd/>
        <w:snapToGrid/>
        <w:spacing w:line="440" w:lineRule="exact"/>
        <w:ind w:firstLine="442" w:firstLineChars="200"/>
        <w:contextualSpacing/>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12</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响应文件</w:t>
      </w:r>
      <w:r>
        <w:rPr>
          <w:rFonts w:hint="eastAsia" w:ascii="宋体" w:hAnsi="宋体" w:eastAsia="宋体" w:cs="宋体"/>
          <w:b/>
          <w:color w:val="auto"/>
          <w:sz w:val="21"/>
          <w:szCs w:val="21"/>
          <w:highlight w:val="none"/>
        </w:rPr>
        <w:t>的密封与标志</w:t>
      </w:r>
    </w:p>
    <w:p w14:paraId="63CCB484">
      <w:pPr>
        <w:keepNext w:val="0"/>
        <w:keepLines w:val="0"/>
        <w:pageBreakBefore w:val="0"/>
        <w:widowControl w:val="0"/>
        <w:kinsoku/>
        <w:wordWrap/>
        <w:overflowPunct/>
        <w:topLinePunct w:val="0"/>
        <w:autoSpaceDE/>
        <w:autoSpaceDN/>
        <w:bidi w:val="0"/>
        <w:adjustRightInd/>
        <w:snapToGrid/>
        <w:spacing w:line="440" w:lineRule="exact"/>
        <w:ind w:left="-1" w:firstLine="442"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.1投标人应将</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，标书封面和有实质性内容应加盖章印(或签署)的有关文件须加盖法人章、法定代表人或委托代理人章印(或签署)后密封。</w:t>
      </w:r>
    </w:p>
    <w:p w14:paraId="707AA575">
      <w:pPr>
        <w:keepNext w:val="0"/>
        <w:keepLines w:val="0"/>
        <w:pageBreakBefore w:val="0"/>
        <w:widowControl w:val="0"/>
        <w:kinsoku/>
        <w:wordWrap/>
        <w:overflowPunct/>
        <w:topLinePunct w:val="0"/>
        <w:autoSpaceDE/>
        <w:autoSpaceDN/>
        <w:bidi w:val="0"/>
        <w:adjustRightInd/>
        <w:snapToGrid/>
        <w:spacing w:line="440" w:lineRule="exact"/>
        <w:ind w:left="-1" w:firstLine="442"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.2 所有</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装入封袋后都必须在封口处密封并盖</w:t>
      </w:r>
      <w:r>
        <w:rPr>
          <w:rFonts w:hint="eastAsia" w:ascii="宋体" w:hAnsi="宋体" w:eastAsia="宋体" w:cs="宋体"/>
          <w:color w:val="auto"/>
          <w:sz w:val="21"/>
          <w:szCs w:val="21"/>
          <w:highlight w:val="none"/>
          <w:lang w:val="en-US" w:eastAsia="zh-CN"/>
        </w:rPr>
        <w:t>公</w:t>
      </w:r>
      <w:r>
        <w:rPr>
          <w:rFonts w:hint="eastAsia" w:ascii="宋体" w:hAnsi="宋体" w:eastAsia="宋体" w:cs="宋体"/>
          <w:color w:val="auto"/>
          <w:sz w:val="21"/>
          <w:szCs w:val="21"/>
          <w:highlight w:val="none"/>
        </w:rPr>
        <w:t>章。</w:t>
      </w:r>
    </w:p>
    <w:p w14:paraId="6F0CFF61">
      <w:pPr>
        <w:keepNext w:val="0"/>
        <w:keepLines w:val="0"/>
        <w:pageBreakBefore w:val="0"/>
        <w:widowControl w:val="0"/>
        <w:kinsoku/>
        <w:wordWrap/>
        <w:overflowPunct/>
        <w:topLinePunct w:val="0"/>
        <w:autoSpaceDE/>
        <w:autoSpaceDN/>
        <w:bidi w:val="0"/>
        <w:adjustRightInd/>
        <w:snapToGrid/>
        <w:spacing w:line="440" w:lineRule="exact"/>
        <w:ind w:left="-1" w:firstLine="442" w:firstLineChars="200"/>
        <w:contextualSpacing/>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12.3 响应文件应标明正、副本，正、副本不一致时，以正本为准。</w:t>
      </w:r>
    </w:p>
    <w:p w14:paraId="1F80538B">
      <w:pPr>
        <w:keepNext w:val="0"/>
        <w:keepLines w:val="0"/>
        <w:pageBreakBefore w:val="0"/>
        <w:widowControl w:val="0"/>
        <w:kinsoku/>
        <w:wordWrap/>
        <w:overflowPunct/>
        <w:topLinePunct w:val="0"/>
        <w:autoSpaceDE/>
        <w:autoSpaceDN/>
        <w:bidi w:val="0"/>
        <w:adjustRightInd/>
        <w:snapToGrid/>
        <w:spacing w:line="440" w:lineRule="exact"/>
        <w:ind w:firstLine="442" w:firstLineChars="200"/>
        <w:contextualSpacing/>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响应文件</w:t>
      </w:r>
      <w:r>
        <w:rPr>
          <w:rFonts w:hint="eastAsia" w:ascii="宋体" w:hAnsi="宋体" w:eastAsia="宋体" w:cs="宋体"/>
          <w:b/>
          <w:color w:val="auto"/>
          <w:sz w:val="21"/>
          <w:szCs w:val="21"/>
          <w:highlight w:val="none"/>
        </w:rPr>
        <w:t>递交</w:t>
      </w:r>
    </w:p>
    <w:p w14:paraId="6AA9A189">
      <w:pPr>
        <w:keepNext w:val="0"/>
        <w:keepLines w:val="0"/>
        <w:pageBreakBefore w:val="0"/>
        <w:widowControl w:val="0"/>
        <w:kinsoku/>
        <w:wordWrap/>
        <w:overflowPunct/>
        <w:topLinePunct w:val="0"/>
        <w:autoSpaceDE/>
        <w:autoSpaceDN/>
        <w:bidi w:val="0"/>
        <w:adjustRightInd/>
        <w:snapToGrid/>
        <w:spacing w:line="440" w:lineRule="exact"/>
        <w:ind w:firstLine="442" w:firstLineChars="200"/>
        <w:contextualSpacing/>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  截止时间：</w:t>
      </w:r>
      <w:r>
        <w:rPr>
          <w:rFonts w:hint="eastAsia" w:ascii="宋体" w:hAnsi="宋体" w:eastAsia="宋体" w:cs="宋体"/>
          <w:color w:val="auto"/>
          <w:sz w:val="21"/>
          <w:szCs w:val="21"/>
          <w:highlight w:val="none"/>
          <w:lang w:val="en-US" w:eastAsia="zh-CN"/>
        </w:rPr>
        <w:t>2026年1月9日上午10</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lang w:val="en-US" w:eastAsia="zh-CN"/>
        </w:rPr>
        <w:t>00分</w:t>
      </w:r>
      <w:r>
        <w:rPr>
          <w:rFonts w:hint="eastAsia" w:ascii="宋体" w:hAnsi="宋体" w:eastAsia="宋体" w:cs="宋体"/>
          <w:color w:val="auto"/>
          <w:sz w:val="21"/>
          <w:szCs w:val="21"/>
          <w:highlight w:val="none"/>
        </w:rPr>
        <w:t>止。</w:t>
      </w:r>
    </w:p>
    <w:p w14:paraId="112F9CA4">
      <w:pPr>
        <w:keepNext w:val="0"/>
        <w:keepLines w:val="0"/>
        <w:pageBreakBefore w:val="0"/>
        <w:widowControl w:val="0"/>
        <w:kinsoku/>
        <w:wordWrap/>
        <w:overflowPunct/>
        <w:topLinePunct w:val="0"/>
        <w:autoSpaceDE/>
        <w:autoSpaceDN/>
        <w:bidi w:val="0"/>
        <w:adjustRightInd/>
        <w:snapToGrid/>
        <w:spacing w:line="440" w:lineRule="exact"/>
        <w:ind w:firstLine="442"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  地点：</w:t>
      </w:r>
      <w:r>
        <w:rPr>
          <w:rFonts w:hint="eastAsia" w:ascii="宋体" w:hAnsi="宋体" w:eastAsia="宋体" w:cs="宋体"/>
          <w:color w:val="auto"/>
          <w:sz w:val="21"/>
          <w:szCs w:val="21"/>
          <w:highlight w:val="none"/>
          <w:lang w:val="en-US" w:eastAsia="zh-CN"/>
        </w:rPr>
        <w:t xml:space="preserve"> 大数据产业园创新大厦南楼12楼开标室</w:t>
      </w:r>
      <w:r>
        <w:rPr>
          <w:rFonts w:hint="eastAsia" w:ascii="宋体" w:hAnsi="宋体" w:eastAsia="宋体" w:cs="宋体"/>
          <w:b/>
          <w:bCs/>
          <w:color w:val="auto"/>
          <w:sz w:val="21"/>
          <w:szCs w:val="21"/>
          <w:highlight w:val="none"/>
        </w:rPr>
        <w:t>。</w:t>
      </w:r>
    </w:p>
    <w:p w14:paraId="6E81CCF1">
      <w:pPr>
        <w:keepNext w:val="0"/>
        <w:keepLines w:val="0"/>
        <w:pageBreakBefore w:val="0"/>
        <w:widowControl w:val="0"/>
        <w:kinsoku/>
        <w:wordWrap/>
        <w:overflowPunct/>
        <w:topLinePunct w:val="0"/>
        <w:autoSpaceDE/>
        <w:autoSpaceDN/>
        <w:bidi w:val="0"/>
        <w:adjustRightInd/>
        <w:snapToGrid/>
        <w:spacing w:line="440" w:lineRule="exact"/>
        <w:ind w:firstLine="442" w:firstLineChars="200"/>
        <w:contextualSpacing/>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谈判</w:t>
      </w:r>
    </w:p>
    <w:p w14:paraId="312D581C">
      <w:pPr>
        <w:keepNext w:val="0"/>
        <w:keepLines w:val="0"/>
        <w:pageBreakBefore w:val="0"/>
        <w:widowControl w:val="0"/>
        <w:kinsoku/>
        <w:wordWrap/>
        <w:overflowPunct/>
        <w:topLinePunct w:val="0"/>
        <w:autoSpaceDE/>
        <w:autoSpaceDN/>
        <w:bidi w:val="0"/>
        <w:adjustRightInd/>
        <w:snapToGrid/>
        <w:spacing w:line="440" w:lineRule="exact"/>
        <w:ind w:firstLine="442"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val="en-US" w:eastAsia="zh-CN"/>
        </w:rPr>
        <w:t>2026年1月9日上午10</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lang w:val="en-US" w:eastAsia="zh-CN"/>
        </w:rPr>
        <w:t>00分</w:t>
      </w:r>
      <w:r>
        <w:rPr>
          <w:rFonts w:hint="eastAsia" w:ascii="宋体" w:hAnsi="宋体" w:eastAsia="宋体" w:cs="宋体"/>
          <w:color w:val="auto"/>
          <w:sz w:val="21"/>
          <w:szCs w:val="21"/>
          <w:highlight w:val="none"/>
        </w:rPr>
        <w:t>。</w:t>
      </w:r>
    </w:p>
    <w:p w14:paraId="6DB0FFCB">
      <w:pPr>
        <w:keepNext w:val="0"/>
        <w:keepLines w:val="0"/>
        <w:pageBreakBefore w:val="0"/>
        <w:widowControl w:val="0"/>
        <w:kinsoku/>
        <w:wordWrap/>
        <w:overflowPunct/>
        <w:topLinePunct w:val="0"/>
        <w:autoSpaceDE/>
        <w:autoSpaceDN/>
        <w:bidi w:val="0"/>
        <w:adjustRightInd/>
        <w:snapToGrid/>
        <w:spacing w:line="440" w:lineRule="exact"/>
        <w:ind w:firstLine="442"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 地点：</w:t>
      </w:r>
      <w:r>
        <w:rPr>
          <w:rFonts w:hint="eastAsia" w:ascii="宋体" w:hAnsi="宋体" w:eastAsia="宋体" w:cs="宋体"/>
          <w:color w:val="auto"/>
          <w:sz w:val="21"/>
          <w:szCs w:val="21"/>
          <w:highlight w:val="none"/>
          <w:lang w:val="en-US" w:eastAsia="zh-CN"/>
        </w:rPr>
        <w:t>大数据产业园创新大厦南楼12楼开标室</w:t>
      </w:r>
      <w:r>
        <w:rPr>
          <w:rFonts w:hint="eastAsia" w:ascii="宋体" w:hAnsi="宋体" w:eastAsia="宋体" w:cs="宋体"/>
          <w:b/>
          <w:bCs/>
          <w:color w:val="auto"/>
          <w:sz w:val="21"/>
          <w:szCs w:val="21"/>
          <w:highlight w:val="none"/>
        </w:rPr>
        <w:t>。</w:t>
      </w:r>
    </w:p>
    <w:p w14:paraId="3202D0D7">
      <w:pPr>
        <w:spacing w:line="460" w:lineRule="exact"/>
        <w:ind w:left="-1" w:leftChars="-6" w:right="-50" w:hanging="18" w:hangingChars="9"/>
        <w:contextualSpacing/>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 xml:space="preserve">    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.3 </w:t>
      </w:r>
      <w:r>
        <w:rPr>
          <w:rFonts w:hint="eastAsia" w:ascii="宋体" w:hAnsi="宋体" w:eastAsia="宋体" w:cs="宋体"/>
          <w:b/>
          <w:color w:val="auto"/>
          <w:sz w:val="21"/>
          <w:szCs w:val="21"/>
          <w:highlight w:val="none"/>
          <w:u w:val="single"/>
        </w:rPr>
        <w:t>本项目</w:t>
      </w:r>
      <w:r>
        <w:rPr>
          <w:rFonts w:hint="eastAsia" w:ascii="宋体" w:hAnsi="宋体" w:eastAsia="宋体" w:cs="宋体"/>
          <w:b/>
          <w:color w:val="auto"/>
          <w:sz w:val="21"/>
          <w:szCs w:val="21"/>
          <w:highlight w:val="none"/>
          <w:u w:val="single"/>
          <w:lang w:eastAsia="zh-CN"/>
        </w:rPr>
        <w:t>招标</w:t>
      </w:r>
      <w:r>
        <w:rPr>
          <w:rFonts w:hint="eastAsia" w:ascii="宋体" w:hAnsi="宋体" w:eastAsia="宋体" w:cs="宋体"/>
          <w:b/>
          <w:color w:val="auto"/>
          <w:sz w:val="21"/>
          <w:szCs w:val="21"/>
          <w:highlight w:val="none"/>
          <w:u w:val="single"/>
        </w:rPr>
        <w:t>人要求投标人的法定代表人或授权委托人携带身份证原件参加</w:t>
      </w:r>
      <w:r>
        <w:rPr>
          <w:rFonts w:hint="eastAsia" w:ascii="宋体" w:hAnsi="宋体" w:eastAsia="宋体" w:cs="宋体"/>
          <w:b/>
          <w:color w:val="auto"/>
          <w:sz w:val="21"/>
          <w:szCs w:val="21"/>
          <w:highlight w:val="none"/>
          <w:u w:val="single"/>
          <w:lang w:val="en-US" w:eastAsia="zh-CN"/>
        </w:rPr>
        <w:t>谈判</w:t>
      </w:r>
      <w:r>
        <w:rPr>
          <w:rFonts w:hint="eastAsia" w:ascii="宋体" w:hAnsi="宋体" w:eastAsia="宋体" w:cs="宋体"/>
          <w:b/>
          <w:color w:val="auto"/>
          <w:sz w:val="21"/>
          <w:szCs w:val="21"/>
          <w:highlight w:val="none"/>
          <w:u w:val="single"/>
        </w:rPr>
        <w:t>，否则，该投标人的</w:t>
      </w:r>
      <w:r>
        <w:rPr>
          <w:rFonts w:hint="eastAsia" w:ascii="宋体" w:hAnsi="宋体" w:eastAsia="宋体" w:cs="宋体"/>
          <w:b/>
          <w:color w:val="auto"/>
          <w:sz w:val="21"/>
          <w:szCs w:val="21"/>
          <w:highlight w:val="none"/>
          <w:u w:val="single"/>
          <w:lang w:eastAsia="zh-CN"/>
        </w:rPr>
        <w:t>响应文件</w:t>
      </w:r>
      <w:r>
        <w:rPr>
          <w:rFonts w:hint="eastAsia" w:ascii="宋体" w:hAnsi="宋体" w:eastAsia="宋体" w:cs="宋体"/>
          <w:b/>
          <w:color w:val="auto"/>
          <w:sz w:val="21"/>
          <w:szCs w:val="21"/>
          <w:highlight w:val="none"/>
          <w:u w:val="single"/>
        </w:rPr>
        <w:t>作无效标书处理。</w:t>
      </w:r>
    </w:p>
    <w:p w14:paraId="4020DB30">
      <w:pPr>
        <w:spacing w:line="460" w:lineRule="exact"/>
        <w:ind w:left="-1" w:leftChars="-6" w:right="-50" w:hanging="18" w:hangingChars="9"/>
        <w:contextualSpacing/>
        <w:rPr>
          <w:rFonts w:hint="eastAsia" w:ascii="宋体" w:hAnsi="宋体" w:eastAsia="宋体" w:cs="宋体"/>
          <w:b/>
          <w:color w:val="auto"/>
          <w:sz w:val="21"/>
          <w:szCs w:val="21"/>
          <w:highlight w:val="none"/>
          <w:u w:val="none"/>
          <w:lang w:val="en-US" w:eastAsia="zh-CN"/>
        </w:rPr>
      </w:pPr>
      <w:r>
        <w:rPr>
          <w:rFonts w:hint="eastAsia" w:ascii="宋体" w:hAnsi="宋体" w:eastAsia="宋体" w:cs="宋体"/>
          <w:b/>
          <w:color w:val="auto"/>
          <w:sz w:val="21"/>
          <w:szCs w:val="21"/>
          <w:highlight w:val="none"/>
          <w:u w:val="none"/>
          <w:lang w:val="en-US" w:eastAsia="zh-CN"/>
        </w:rPr>
        <w:t xml:space="preserve">    16、无效标条款</w:t>
      </w:r>
    </w:p>
    <w:p w14:paraId="596EACE7">
      <w:pPr>
        <w:keepNext w:val="0"/>
        <w:keepLines w:val="0"/>
        <w:pageBreakBefore w:val="0"/>
        <w:widowControl w:val="0"/>
        <w:kinsoku/>
        <w:wordWrap/>
        <w:overflowPunct/>
        <w:topLinePunct w:val="0"/>
        <w:autoSpaceDE/>
        <w:autoSpaceDN/>
        <w:bidi w:val="0"/>
        <w:adjustRightInd/>
        <w:snapToGrid/>
        <w:spacing w:line="440" w:lineRule="exact"/>
        <w:ind w:firstLine="442" w:firstLineChars="200"/>
        <w:contextualSpacing/>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6</w:t>
      </w:r>
      <w:r>
        <w:rPr>
          <w:rFonts w:hint="default" w:ascii="宋体" w:hAnsi="宋体" w:eastAsia="宋体" w:cs="宋体"/>
          <w:color w:val="auto"/>
          <w:sz w:val="21"/>
          <w:szCs w:val="21"/>
          <w:highlight w:val="none"/>
          <w:lang w:val="en-US" w:eastAsia="zh-CN"/>
        </w:rPr>
        <w:t>.1响应文件中的投标函未加盖投标人的公章、企业法定代表人（或企业法定代表人委托代理人）印章（或签字）的；</w:t>
      </w:r>
    </w:p>
    <w:p w14:paraId="7DDC2259">
      <w:pPr>
        <w:keepNext w:val="0"/>
        <w:keepLines w:val="0"/>
        <w:pageBreakBefore w:val="0"/>
        <w:widowControl w:val="0"/>
        <w:kinsoku/>
        <w:wordWrap/>
        <w:overflowPunct/>
        <w:topLinePunct w:val="0"/>
        <w:autoSpaceDE/>
        <w:autoSpaceDN/>
        <w:bidi w:val="0"/>
        <w:adjustRightInd/>
        <w:snapToGrid/>
        <w:spacing w:line="440" w:lineRule="exact"/>
        <w:ind w:firstLine="442" w:firstLineChars="200"/>
        <w:contextualSpacing/>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6</w:t>
      </w:r>
      <w:r>
        <w:rPr>
          <w:rFonts w:hint="default" w:ascii="宋体" w:hAnsi="宋体" w:eastAsia="宋体" w:cs="宋体"/>
          <w:color w:val="auto"/>
          <w:sz w:val="21"/>
          <w:szCs w:val="21"/>
          <w:highlight w:val="none"/>
          <w:lang w:val="en-US" w:eastAsia="zh-CN"/>
        </w:rPr>
        <w:t>.2如投标函加盖企业法定代表人委托代理人印章（或签字）的，企业法定代表人委托代理人没有合法、有效的委托书（原件）的；</w:t>
      </w:r>
    </w:p>
    <w:p w14:paraId="36003AF0">
      <w:pPr>
        <w:keepNext w:val="0"/>
        <w:keepLines w:val="0"/>
        <w:pageBreakBefore w:val="0"/>
        <w:widowControl w:val="0"/>
        <w:kinsoku/>
        <w:wordWrap/>
        <w:overflowPunct/>
        <w:topLinePunct w:val="0"/>
        <w:autoSpaceDE/>
        <w:autoSpaceDN/>
        <w:bidi w:val="0"/>
        <w:adjustRightInd/>
        <w:snapToGrid/>
        <w:spacing w:line="440" w:lineRule="exact"/>
        <w:ind w:firstLine="442" w:firstLineChars="200"/>
        <w:contextualSpacing/>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6</w:t>
      </w:r>
      <w:r>
        <w:rPr>
          <w:rFonts w:hint="default" w:ascii="宋体" w:hAnsi="宋体" w:eastAsia="宋体" w:cs="宋体"/>
          <w:color w:val="auto"/>
          <w:sz w:val="21"/>
          <w:szCs w:val="21"/>
          <w:highlight w:val="none"/>
          <w:lang w:val="en-US" w:eastAsia="zh-CN"/>
        </w:rPr>
        <w:t>.3投标人资格条件不符合国家有关规定或谈判文件要求的；</w:t>
      </w:r>
    </w:p>
    <w:p w14:paraId="21CFAF50">
      <w:pPr>
        <w:keepNext w:val="0"/>
        <w:keepLines w:val="0"/>
        <w:pageBreakBefore w:val="0"/>
        <w:widowControl w:val="0"/>
        <w:kinsoku/>
        <w:wordWrap/>
        <w:overflowPunct/>
        <w:topLinePunct w:val="0"/>
        <w:autoSpaceDE/>
        <w:autoSpaceDN/>
        <w:bidi w:val="0"/>
        <w:adjustRightInd/>
        <w:snapToGrid/>
        <w:spacing w:line="440" w:lineRule="exact"/>
        <w:ind w:firstLine="442" w:firstLineChars="200"/>
        <w:contextualSpacing/>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6</w:t>
      </w:r>
      <w:r>
        <w:rPr>
          <w:rFonts w:hint="default" w:ascii="宋体" w:hAnsi="宋体" w:eastAsia="宋体" w:cs="宋体"/>
          <w:color w:val="auto"/>
          <w:sz w:val="21"/>
          <w:szCs w:val="21"/>
          <w:highlight w:val="none"/>
          <w:lang w:val="en-US" w:eastAsia="zh-CN"/>
        </w:rPr>
        <w:t>.4投标报价低于成本或者高于谈判文件设定的最高投标限价的；</w:t>
      </w:r>
    </w:p>
    <w:p w14:paraId="4032B4B5">
      <w:pPr>
        <w:keepNext w:val="0"/>
        <w:keepLines w:val="0"/>
        <w:pageBreakBefore w:val="0"/>
        <w:widowControl w:val="0"/>
        <w:kinsoku/>
        <w:wordWrap/>
        <w:overflowPunct/>
        <w:topLinePunct w:val="0"/>
        <w:autoSpaceDE/>
        <w:autoSpaceDN/>
        <w:bidi w:val="0"/>
        <w:adjustRightInd/>
        <w:snapToGrid/>
        <w:spacing w:line="440" w:lineRule="exact"/>
        <w:ind w:firstLine="442" w:firstLineChars="200"/>
        <w:contextualSpacing/>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6</w:t>
      </w:r>
      <w:r>
        <w:rPr>
          <w:rFonts w:hint="default" w:ascii="宋体" w:hAnsi="宋体" w:eastAsia="宋体" w:cs="宋体"/>
          <w:color w:val="auto"/>
          <w:sz w:val="21"/>
          <w:szCs w:val="21"/>
          <w:highlight w:val="none"/>
          <w:lang w:val="en-US" w:eastAsia="zh-CN"/>
        </w:rPr>
        <w:t>.5同一投标人提交两个及以上不同的响应文件或者投标报价，但谈判文件要求提交备选投标的除外；</w:t>
      </w:r>
    </w:p>
    <w:p w14:paraId="1A8E39FC">
      <w:pPr>
        <w:keepNext w:val="0"/>
        <w:keepLines w:val="0"/>
        <w:pageBreakBefore w:val="0"/>
        <w:widowControl w:val="0"/>
        <w:kinsoku/>
        <w:wordWrap/>
        <w:overflowPunct/>
        <w:topLinePunct w:val="0"/>
        <w:autoSpaceDE/>
        <w:autoSpaceDN/>
        <w:bidi w:val="0"/>
        <w:adjustRightInd/>
        <w:snapToGrid/>
        <w:spacing w:line="440" w:lineRule="exact"/>
        <w:ind w:firstLine="442" w:firstLineChars="200"/>
        <w:contextualSpacing/>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6</w:t>
      </w:r>
      <w:r>
        <w:rPr>
          <w:rFonts w:hint="default" w:ascii="宋体" w:hAnsi="宋体" w:eastAsia="宋体" w:cs="宋体"/>
          <w:color w:val="auto"/>
          <w:sz w:val="21"/>
          <w:szCs w:val="21"/>
          <w:highlight w:val="none"/>
          <w:lang w:val="en-US" w:eastAsia="zh-CN"/>
        </w:rPr>
        <w:t>.6响应文件载明的招标项目完成期限超过谈判文件规定的期限的；</w:t>
      </w:r>
    </w:p>
    <w:p w14:paraId="5B5CDC71">
      <w:pPr>
        <w:keepNext w:val="0"/>
        <w:keepLines w:val="0"/>
        <w:pageBreakBefore w:val="0"/>
        <w:widowControl w:val="0"/>
        <w:kinsoku/>
        <w:wordWrap/>
        <w:overflowPunct/>
        <w:topLinePunct w:val="0"/>
        <w:autoSpaceDE/>
        <w:autoSpaceDN/>
        <w:bidi w:val="0"/>
        <w:adjustRightInd/>
        <w:snapToGrid/>
        <w:spacing w:line="440" w:lineRule="exact"/>
        <w:ind w:firstLine="442" w:firstLineChars="200"/>
        <w:contextualSpacing/>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6</w:t>
      </w:r>
      <w:r>
        <w:rPr>
          <w:rFonts w:hint="default" w:ascii="宋体" w:hAnsi="宋体" w:eastAsia="宋体" w:cs="宋体"/>
          <w:color w:val="auto"/>
          <w:sz w:val="21"/>
          <w:szCs w:val="21"/>
          <w:highlight w:val="none"/>
          <w:lang w:val="en-US" w:eastAsia="zh-CN"/>
        </w:rPr>
        <w:t>.7明显不符合技术规范、技术标准的要求的；</w:t>
      </w:r>
    </w:p>
    <w:p w14:paraId="717FEF22">
      <w:pPr>
        <w:keepNext w:val="0"/>
        <w:keepLines w:val="0"/>
        <w:pageBreakBefore w:val="0"/>
        <w:widowControl w:val="0"/>
        <w:kinsoku/>
        <w:wordWrap/>
        <w:overflowPunct/>
        <w:topLinePunct w:val="0"/>
        <w:autoSpaceDE/>
        <w:autoSpaceDN/>
        <w:bidi w:val="0"/>
        <w:adjustRightInd/>
        <w:snapToGrid/>
        <w:spacing w:line="440" w:lineRule="exact"/>
        <w:ind w:firstLine="442" w:firstLineChars="200"/>
        <w:contextualSpacing/>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6</w:t>
      </w:r>
      <w:r>
        <w:rPr>
          <w:rFonts w:hint="default" w:ascii="宋体" w:hAnsi="宋体" w:eastAsia="宋体" w:cs="宋体"/>
          <w:color w:val="auto"/>
          <w:sz w:val="21"/>
          <w:szCs w:val="21"/>
          <w:highlight w:val="none"/>
          <w:lang w:val="en-US" w:eastAsia="zh-CN"/>
        </w:rPr>
        <w:t>.8响应文件载明的货物包装方式、检验标准和方法等不符合谈判文件的要求的；</w:t>
      </w:r>
    </w:p>
    <w:p w14:paraId="2B504F00">
      <w:pPr>
        <w:keepNext w:val="0"/>
        <w:keepLines w:val="0"/>
        <w:pageBreakBefore w:val="0"/>
        <w:widowControl w:val="0"/>
        <w:kinsoku/>
        <w:wordWrap/>
        <w:overflowPunct/>
        <w:topLinePunct w:val="0"/>
        <w:autoSpaceDE/>
        <w:autoSpaceDN/>
        <w:bidi w:val="0"/>
        <w:adjustRightInd/>
        <w:snapToGrid/>
        <w:spacing w:line="440" w:lineRule="exact"/>
        <w:ind w:firstLine="442" w:firstLineChars="200"/>
        <w:contextualSpacing/>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6</w:t>
      </w:r>
      <w:r>
        <w:rPr>
          <w:rFonts w:hint="default" w:ascii="宋体" w:hAnsi="宋体" w:eastAsia="宋体" w:cs="宋体"/>
          <w:color w:val="auto"/>
          <w:sz w:val="21"/>
          <w:szCs w:val="21"/>
          <w:highlight w:val="none"/>
          <w:lang w:val="en-US" w:eastAsia="zh-CN"/>
        </w:rPr>
        <w:t>.9响应文件提出了不能满足谈判文件要求或招标人不能接受的验收、计量、价款结算和支付办法的；</w:t>
      </w:r>
    </w:p>
    <w:p w14:paraId="0B275C49">
      <w:pPr>
        <w:keepNext w:val="0"/>
        <w:keepLines w:val="0"/>
        <w:pageBreakBefore w:val="0"/>
        <w:widowControl w:val="0"/>
        <w:kinsoku/>
        <w:wordWrap/>
        <w:overflowPunct/>
        <w:topLinePunct w:val="0"/>
        <w:autoSpaceDE/>
        <w:autoSpaceDN/>
        <w:bidi w:val="0"/>
        <w:adjustRightInd/>
        <w:snapToGrid/>
        <w:spacing w:line="440" w:lineRule="exact"/>
        <w:ind w:firstLine="442" w:firstLineChars="200"/>
        <w:contextualSpacing/>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6</w:t>
      </w:r>
      <w:r>
        <w:rPr>
          <w:rFonts w:hint="default" w:ascii="宋体" w:hAnsi="宋体" w:eastAsia="宋体" w:cs="宋体"/>
          <w:color w:val="auto"/>
          <w:sz w:val="21"/>
          <w:szCs w:val="21"/>
          <w:highlight w:val="none"/>
          <w:lang w:val="en-US" w:eastAsia="zh-CN"/>
        </w:rPr>
        <w:t>.10不同投标人的响应文件以及响应文件制作过程出现了评标委员会认为不应当雷同的情况的；</w:t>
      </w:r>
    </w:p>
    <w:p w14:paraId="0D0987CF">
      <w:pPr>
        <w:keepNext w:val="0"/>
        <w:keepLines w:val="0"/>
        <w:pageBreakBefore w:val="0"/>
        <w:widowControl w:val="0"/>
        <w:kinsoku/>
        <w:wordWrap/>
        <w:overflowPunct/>
        <w:topLinePunct w:val="0"/>
        <w:autoSpaceDE/>
        <w:autoSpaceDN/>
        <w:bidi w:val="0"/>
        <w:adjustRightInd/>
        <w:snapToGrid/>
        <w:spacing w:line="440" w:lineRule="exact"/>
        <w:ind w:firstLine="442" w:firstLineChars="200"/>
        <w:contextualSpacing/>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6</w:t>
      </w:r>
      <w:r>
        <w:rPr>
          <w:rFonts w:hint="default" w:ascii="宋体" w:hAnsi="宋体" w:eastAsia="宋体" w:cs="宋体"/>
          <w:color w:val="auto"/>
          <w:sz w:val="21"/>
          <w:szCs w:val="21"/>
          <w:highlight w:val="none"/>
          <w:lang w:val="en-US" w:eastAsia="zh-CN"/>
        </w:rPr>
        <w:t>.11以他人的名义投标、串通投标、以行贿手段谋取中标或者以其他弄虚作假方式投标的。</w:t>
      </w:r>
    </w:p>
    <w:p w14:paraId="781A0320">
      <w:pPr>
        <w:widowControl/>
        <w:tabs>
          <w:tab w:val="left" w:pos="720"/>
        </w:tabs>
        <w:spacing w:line="460" w:lineRule="exact"/>
        <w:ind w:firstLine="442" w:firstLineChars="200"/>
        <w:contextualSpacing/>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b/>
          <w:bCs/>
          <w:color w:val="auto"/>
          <w:sz w:val="21"/>
          <w:szCs w:val="21"/>
          <w:highlight w:val="none"/>
          <w:lang w:val="en-US" w:eastAsia="zh-CN"/>
        </w:rPr>
        <w:t>付款方式</w:t>
      </w:r>
    </w:p>
    <w:p w14:paraId="1647E750">
      <w:pPr>
        <w:widowControl/>
        <w:tabs>
          <w:tab w:val="left" w:pos="720"/>
        </w:tabs>
        <w:spacing w:line="460" w:lineRule="exact"/>
        <w:ind w:firstLine="442" w:firstLineChars="200"/>
        <w:contextualSpacing/>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17.1合同签订生效后 10 个工作日内，招标人支付合同总金额的30%。</w:t>
      </w:r>
    </w:p>
    <w:p w14:paraId="4F48628F">
      <w:pPr>
        <w:widowControl/>
        <w:tabs>
          <w:tab w:val="left" w:pos="720"/>
        </w:tabs>
        <w:spacing w:line="460" w:lineRule="exact"/>
        <w:ind w:firstLine="442" w:firstLineChars="200"/>
        <w:contextualSpacing/>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17.2招标人完成验收并出具验收合格报告书后，中标人应于收到该报告书之日起 10 个工作日内，向招标人开具并交付含 13% 增值税税率的增值税专用发票；招标人在收到中标人开具的合规发票后60日历天内，支付合同总金额的 60%。</w:t>
      </w:r>
    </w:p>
    <w:p w14:paraId="146C9489">
      <w:pPr>
        <w:widowControl/>
        <w:tabs>
          <w:tab w:val="left" w:pos="720"/>
        </w:tabs>
        <w:spacing w:line="460" w:lineRule="exact"/>
        <w:ind w:firstLine="442" w:firstLineChars="200"/>
        <w:contextualSpacing/>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17.2本合同履行期满1年，且中标人所供货物/服务无质量瑕疵且无违约的情形下，招标人支付剩余10%合同总金额。</w:t>
      </w:r>
    </w:p>
    <w:p w14:paraId="6CA700F8">
      <w:pPr>
        <w:widowControl/>
        <w:tabs>
          <w:tab w:val="left" w:pos="720"/>
        </w:tabs>
        <w:spacing w:line="460" w:lineRule="exact"/>
        <w:ind w:firstLine="442" w:firstLineChars="200"/>
        <w:contextualSpacing/>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18、其它：</w:t>
      </w:r>
    </w:p>
    <w:p w14:paraId="709CCCA8">
      <w:pPr>
        <w:widowControl/>
        <w:tabs>
          <w:tab w:val="left" w:pos="720"/>
        </w:tabs>
        <w:spacing w:line="460" w:lineRule="exact"/>
        <w:ind w:firstLine="442" w:firstLineChars="200"/>
        <w:contextualSpacing/>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18.1中标人的响应文件和本谈判文件为合同文件的组成部分。</w:t>
      </w:r>
    </w:p>
    <w:p w14:paraId="674F74F2">
      <w:pPr>
        <w:widowControl/>
        <w:tabs>
          <w:tab w:val="left" w:pos="720"/>
        </w:tabs>
        <w:spacing w:line="460" w:lineRule="exact"/>
        <w:ind w:firstLine="442" w:firstLineChars="200"/>
        <w:contextualSpacing/>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18.2中标人严重延期，招标人有权解除合同，并要求中标人赔偿因此造成的损失。</w:t>
      </w:r>
    </w:p>
    <w:p w14:paraId="441A1871">
      <w:pPr>
        <w:widowControl/>
        <w:tabs>
          <w:tab w:val="left" w:pos="720"/>
        </w:tabs>
        <w:spacing w:line="460" w:lineRule="exact"/>
        <w:ind w:firstLine="442" w:firstLineChars="200"/>
        <w:contextualSpacing/>
        <w:jc w:val="left"/>
        <w:rPr>
          <w:rFonts w:hint="eastAsia" w:ascii="宋体" w:hAnsi="宋体" w:eastAsia="宋体" w:cs="宋体"/>
          <w:b/>
          <w:bCs/>
          <w:color w:val="auto"/>
          <w:sz w:val="36"/>
          <w:highlight w:val="none"/>
          <w:lang w:val="en-US" w:eastAsia="zh-CN"/>
        </w:rPr>
      </w:pPr>
      <w:r>
        <w:rPr>
          <w:rFonts w:hint="eastAsia" w:ascii="宋体" w:hAnsi="宋体" w:eastAsia="宋体" w:cs="宋体"/>
          <w:color w:val="auto"/>
          <w:sz w:val="21"/>
          <w:szCs w:val="21"/>
          <w:highlight w:val="none"/>
          <w:lang w:val="en-US" w:eastAsia="zh-CN"/>
        </w:rPr>
        <w:br w:type="page"/>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bCs/>
          <w:color w:val="auto"/>
          <w:sz w:val="36"/>
          <w:highlight w:val="none"/>
          <w:lang w:val="en-US" w:eastAsia="zh-CN"/>
        </w:rPr>
        <w:t xml:space="preserve">第二部分  项目需求 </w:t>
      </w:r>
    </w:p>
    <w:p w14:paraId="17C50586">
      <w:pPr>
        <w:pStyle w:val="2"/>
        <w:numPr>
          <w:ilvl w:val="0"/>
          <w:numId w:val="4"/>
        </w:numPr>
        <w:spacing w:before="0" w:after="0" w:line="360" w:lineRule="auto"/>
        <w:ind w:firstLine="442"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货物及服务需求一览表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4717"/>
        <w:gridCol w:w="2753"/>
      </w:tblGrid>
      <w:tr w14:paraId="7FCA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pct"/>
            <w:noWrap w:val="0"/>
            <w:vAlign w:val="center"/>
          </w:tcPr>
          <w:p w14:paraId="6101CC21">
            <w:pPr>
              <w:pStyle w:val="1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2570" w:type="pct"/>
            <w:noWrap w:val="0"/>
            <w:vAlign w:val="center"/>
          </w:tcPr>
          <w:p w14:paraId="7CF94913">
            <w:pPr>
              <w:pStyle w:val="1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设备名称</w:t>
            </w:r>
          </w:p>
        </w:tc>
        <w:tc>
          <w:tcPr>
            <w:tcW w:w="1500" w:type="pct"/>
            <w:noWrap w:val="0"/>
            <w:vAlign w:val="top"/>
          </w:tcPr>
          <w:p w14:paraId="7C3AC9AB">
            <w:pPr>
              <w:pStyle w:val="1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数量（个/套）</w:t>
            </w:r>
          </w:p>
        </w:tc>
      </w:tr>
      <w:tr w14:paraId="1EDFD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pct"/>
            <w:noWrap w:val="0"/>
            <w:vAlign w:val="center"/>
          </w:tcPr>
          <w:p w14:paraId="02F0B45B">
            <w:pPr>
              <w:pStyle w:val="10"/>
              <w:numPr>
                <w:ilvl w:val="0"/>
                <w:numId w:val="5"/>
              </w:numPr>
              <w:snapToGrid w:val="0"/>
              <w:jc w:val="center"/>
              <w:rPr>
                <w:rFonts w:hint="eastAsia" w:ascii="宋体" w:hAnsi="宋体" w:eastAsia="宋体" w:cs="宋体"/>
                <w:kern w:val="2"/>
                <w:sz w:val="21"/>
                <w:szCs w:val="21"/>
                <w:highlight w:val="none"/>
                <w:lang w:val="en-US" w:eastAsia="zh-CN" w:bidi="ar-SA"/>
              </w:rPr>
            </w:pPr>
          </w:p>
        </w:tc>
        <w:tc>
          <w:tcPr>
            <w:tcW w:w="2570" w:type="pct"/>
            <w:noWrap w:val="0"/>
            <w:vAlign w:val="center"/>
          </w:tcPr>
          <w:p w14:paraId="7B848F44">
            <w:pPr>
              <w:spacing w:before="100" w:beforeAutospacing="1" w:after="100" w:afterAutospacing="1" w:line="30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应急工具箱</w:t>
            </w:r>
          </w:p>
        </w:tc>
        <w:tc>
          <w:tcPr>
            <w:tcW w:w="1500" w:type="pct"/>
            <w:noWrap w:val="0"/>
            <w:vAlign w:val="center"/>
          </w:tcPr>
          <w:p w14:paraId="3BA6DF09">
            <w:pPr>
              <w:spacing w:before="100" w:beforeAutospacing="1" w:after="100" w:afterAutospacing="1" w:line="30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w:t>
            </w:r>
          </w:p>
        </w:tc>
      </w:tr>
    </w:tbl>
    <w:p w14:paraId="0A1827DC">
      <w:pPr>
        <w:pStyle w:val="2"/>
        <w:numPr>
          <w:ilvl w:val="0"/>
          <w:numId w:val="4"/>
        </w:numPr>
        <w:spacing w:before="0" w:after="0" w:line="360" w:lineRule="auto"/>
        <w:ind w:firstLine="442"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规格</w:t>
      </w:r>
      <w:r>
        <w:rPr>
          <w:rFonts w:hint="eastAsia" w:ascii="宋体" w:hAnsi="宋体" w:eastAsia="宋体" w:cs="宋体"/>
          <w:kern w:val="0"/>
          <w:sz w:val="21"/>
          <w:szCs w:val="21"/>
          <w:highlight w:val="none"/>
        </w:rPr>
        <w:t>要求</w:t>
      </w:r>
    </w:p>
    <w:tbl>
      <w:tblPr>
        <w:tblStyle w:val="24"/>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307"/>
        <w:gridCol w:w="7815"/>
      </w:tblGrid>
      <w:tr w14:paraId="1DF19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38" w:type="dxa"/>
            <w:noWrap w:val="0"/>
            <w:vAlign w:val="top"/>
          </w:tcPr>
          <w:p w14:paraId="23F84AC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olor w:val="auto"/>
                <w:sz w:val="21"/>
                <w:szCs w:val="21"/>
                <w:highlight w:val="none"/>
                <w:u w:val="none"/>
              </w:rPr>
            </w:pPr>
            <w:r>
              <w:rPr>
                <w:rFonts w:hint="eastAsia" w:ascii="宋体" w:hAnsi="宋体" w:eastAsia="宋体" w:cs="宋体"/>
                <w:b/>
                <w:color w:val="auto"/>
                <w:sz w:val="21"/>
                <w:szCs w:val="21"/>
                <w:highlight w:val="none"/>
                <w:u w:val="none"/>
              </w:rPr>
              <w:t>指标</w:t>
            </w:r>
          </w:p>
        </w:tc>
        <w:tc>
          <w:tcPr>
            <w:tcW w:w="1307" w:type="dxa"/>
            <w:noWrap w:val="0"/>
            <w:vAlign w:val="top"/>
          </w:tcPr>
          <w:p w14:paraId="01107A2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olor w:val="auto"/>
                <w:sz w:val="21"/>
                <w:szCs w:val="21"/>
                <w:highlight w:val="none"/>
                <w:u w:val="none"/>
              </w:rPr>
            </w:pPr>
            <w:r>
              <w:rPr>
                <w:rFonts w:hint="eastAsia" w:ascii="宋体" w:hAnsi="宋体" w:eastAsia="宋体" w:cs="宋体"/>
                <w:b/>
                <w:color w:val="auto"/>
                <w:sz w:val="21"/>
                <w:szCs w:val="21"/>
                <w:highlight w:val="none"/>
                <w:u w:val="none"/>
              </w:rPr>
              <w:t>指标项</w:t>
            </w:r>
          </w:p>
        </w:tc>
        <w:tc>
          <w:tcPr>
            <w:tcW w:w="7815" w:type="dxa"/>
            <w:noWrap w:val="0"/>
            <w:vAlign w:val="top"/>
          </w:tcPr>
          <w:p w14:paraId="2BFD6EE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olor w:val="auto"/>
                <w:sz w:val="21"/>
                <w:szCs w:val="21"/>
                <w:highlight w:val="none"/>
                <w:u w:val="none"/>
              </w:rPr>
            </w:pPr>
            <w:r>
              <w:rPr>
                <w:rFonts w:hint="eastAsia" w:ascii="宋体" w:hAnsi="宋体" w:eastAsia="宋体" w:cs="宋体"/>
                <w:b/>
                <w:color w:val="auto"/>
                <w:sz w:val="21"/>
                <w:szCs w:val="21"/>
                <w:highlight w:val="none"/>
                <w:u w:val="none"/>
              </w:rPr>
              <w:t>规格要求</w:t>
            </w:r>
          </w:p>
        </w:tc>
      </w:tr>
      <w:tr w14:paraId="16120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38" w:type="dxa"/>
            <w:vMerge w:val="restart"/>
            <w:noWrap w:val="0"/>
            <w:vAlign w:val="center"/>
          </w:tcPr>
          <w:p w14:paraId="368302A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硬件要求</w:t>
            </w:r>
          </w:p>
        </w:tc>
        <w:tc>
          <w:tcPr>
            <w:tcW w:w="1307" w:type="dxa"/>
            <w:noWrap w:val="0"/>
            <w:vAlign w:val="center"/>
          </w:tcPr>
          <w:p w14:paraId="2D29F0B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kern w:val="0"/>
                <w:sz w:val="21"/>
                <w:szCs w:val="21"/>
                <w:highlight w:val="none"/>
                <w:u w:val="none"/>
              </w:rPr>
              <w:t>设备</w:t>
            </w:r>
          </w:p>
        </w:tc>
        <w:tc>
          <w:tcPr>
            <w:tcW w:w="7815" w:type="dxa"/>
            <w:noWrap w:val="0"/>
            <w:vAlign w:val="center"/>
          </w:tcPr>
          <w:p w14:paraId="7674E6DC">
            <w:pPr>
              <w:keepNext w:val="0"/>
              <w:keepLines w:val="0"/>
              <w:pageBreakBefore w:val="0"/>
              <w:widowControl w:val="0"/>
              <w:numPr>
                <w:ilvl w:val="0"/>
                <w:numId w:val="6"/>
              </w:numPr>
              <w:kinsoku/>
              <w:wordWrap/>
              <w:overflowPunct/>
              <w:topLinePunct w:val="0"/>
              <w:autoSpaceDE/>
              <w:autoSpaceDN/>
              <w:bidi w:val="0"/>
              <w:adjustRightInd/>
              <w:snapToGrid w:val="0"/>
              <w:spacing w:line="360" w:lineRule="auto"/>
              <w:ind w:left="440" w:hanging="440"/>
              <w:contextualSpacing/>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便携加固式形态，CPU不低于英特尔 i7处理器1.8GHZ，设备标配16GB DDR3内存，1TB SSD 硬盘，设备标配14寸屏幕，标配3个USB3.0，1个USB2.0，1个VGA，1个HDMI，2个RJ45网口；</w:t>
            </w:r>
          </w:p>
          <w:p w14:paraId="27DC1DD2">
            <w:pPr>
              <w:keepNext w:val="0"/>
              <w:keepLines w:val="0"/>
              <w:pageBreakBefore w:val="0"/>
              <w:widowControl w:val="0"/>
              <w:numPr>
                <w:ilvl w:val="0"/>
                <w:numId w:val="6"/>
              </w:numPr>
              <w:kinsoku/>
              <w:wordWrap/>
              <w:overflowPunct/>
              <w:topLinePunct w:val="0"/>
              <w:autoSpaceDE/>
              <w:autoSpaceDN/>
              <w:bidi w:val="0"/>
              <w:adjustRightInd/>
              <w:snapToGrid w:val="0"/>
              <w:spacing w:line="360" w:lineRule="auto"/>
              <w:ind w:left="440" w:hanging="440"/>
              <w:contextualSpacing/>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硬件定制：U口检查工具硬件定制结构，替代原内置刻录光驱位置，包含2根USB转Typec连接线；</w:t>
            </w:r>
          </w:p>
        </w:tc>
      </w:tr>
      <w:tr w14:paraId="37BF4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38" w:type="dxa"/>
            <w:vMerge w:val="continue"/>
            <w:noWrap w:val="0"/>
            <w:vAlign w:val="center"/>
          </w:tcPr>
          <w:p w14:paraId="79BF40E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u w:val="none"/>
              </w:rPr>
            </w:pPr>
          </w:p>
        </w:tc>
        <w:tc>
          <w:tcPr>
            <w:tcW w:w="1307" w:type="dxa"/>
            <w:noWrap w:val="0"/>
            <w:vAlign w:val="center"/>
          </w:tcPr>
          <w:p w14:paraId="0CCE34C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配件</w:t>
            </w:r>
          </w:p>
        </w:tc>
        <w:tc>
          <w:tcPr>
            <w:tcW w:w="7815" w:type="dxa"/>
            <w:noWrap w:val="0"/>
            <w:vAlign w:val="center"/>
          </w:tcPr>
          <w:p w14:paraId="687491C5">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定制数据加密Ukey，数量不低于1个；（用于系统登陆启动）</w:t>
            </w:r>
          </w:p>
          <w:p w14:paraId="7A6FCCD1">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kern w:val="0"/>
                <w:sz w:val="21"/>
                <w:szCs w:val="21"/>
                <w:highlight w:val="none"/>
                <w:u w:val="none"/>
              </w:rPr>
              <w:t>定制技术工具U盘，</w:t>
            </w:r>
            <w:r>
              <w:rPr>
                <w:rFonts w:hint="eastAsia" w:ascii="宋体" w:hAnsi="宋体" w:eastAsia="宋体" w:cs="宋体"/>
                <w:color w:val="auto"/>
                <w:sz w:val="21"/>
                <w:szCs w:val="21"/>
                <w:highlight w:val="none"/>
                <w:u w:val="none"/>
              </w:rPr>
              <w:t>数量不低于10个；（用于分别安装工具箱U口检查工具）</w:t>
            </w:r>
          </w:p>
        </w:tc>
      </w:tr>
      <w:tr w14:paraId="037B5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38" w:type="dxa"/>
            <w:vMerge w:val="continue"/>
            <w:noWrap w:val="0"/>
            <w:vAlign w:val="center"/>
          </w:tcPr>
          <w:p w14:paraId="308259C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u w:val="none"/>
              </w:rPr>
            </w:pPr>
          </w:p>
        </w:tc>
        <w:tc>
          <w:tcPr>
            <w:tcW w:w="1307" w:type="dxa"/>
            <w:noWrap w:val="0"/>
            <w:vAlign w:val="center"/>
          </w:tcPr>
          <w:p w14:paraId="45DB138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安全箱</w:t>
            </w:r>
          </w:p>
        </w:tc>
        <w:tc>
          <w:tcPr>
            <w:tcW w:w="7815" w:type="dxa"/>
            <w:noWrap w:val="0"/>
            <w:vAlign w:val="center"/>
          </w:tcPr>
          <w:p w14:paraId="291AC9ED">
            <w:pPr>
              <w:keepNext w:val="0"/>
              <w:keepLines w:val="0"/>
              <w:pageBreakBefore w:val="0"/>
              <w:widowControl w:val="0"/>
              <w:numPr>
                <w:ilvl w:val="0"/>
                <w:numId w:val="8"/>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手提式安全箱，防水、防潮、防尘、防腐蚀、抗摔，外部尺寸长49.6*宽39.4*高18.5cm；</w:t>
            </w:r>
          </w:p>
          <w:p w14:paraId="4B125705">
            <w:pPr>
              <w:keepNext w:val="0"/>
              <w:keepLines w:val="0"/>
              <w:pageBreakBefore w:val="0"/>
              <w:widowControl w:val="0"/>
              <w:numPr>
                <w:ilvl w:val="0"/>
                <w:numId w:val="8"/>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定制箱内海绵楦体</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（按照产品硬件尺寸量身定制）</w:t>
            </w:r>
          </w:p>
          <w:p w14:paraId="780830F0">
            <w:pPr>
              <w:keepNext w:val="0"/>
              <w:keepLines w:val="0"/>
              <w:pageBreakBefore w:val="0"/>
              <w:widowControl w:val="0"/>
              <w:numPr>
                <w:ilvl w:val="0"/>
                <w:numId w:val="8"/>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配套件包含密码锁≥1个，鼠标≥1个，USB分线器≥1个,网线≥1根</w:t>
            </w:r>
            <w:r>
              <w:rPr>
                <w:rFonts w:hint="eastAsia" w:ascii="宋体" w:hAnsi="宋体" w:eastAsia="宋体" w:cs="宋体"/>
                <w:color w:val="auto"/>
                <w:sz w:val="21"/>
                <w:szCs w:val="21"/>
                <w:highlight w:val="none"/>
                <w:u w:val="none"/>
                <w:lang w:eastAsia="zh-CN"/>
              </w:rPr>
              <w:t>；</w:t>
            </w:r>
          </w:p>
        </w:tc>
      </w:tr>
      <w:tr w14:paraId="55756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38" w:type="dxa"/>
            <w:vMerge w:val="restart"/>
            <w:noWrap w:val="0"/>
            <w:vAlign w:val="center"/>
          </w:tcPr>
          <w:p w14:paraId="42D3ED1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软件要求</w:t>
            </w:r>
          </w:p>
        </w:tc>
        <w:tc>
          <w:tcPr>
            <w:tcW w:w="1307" w:type="dxa"/>
            <w:noWrap w:val="0"/>
            <w:vAlign w:val="center"/>
          </w:tcPr>
          <w:p w14:paraId="2E40952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应急处置管理</w:t>
            </w:r>
          </w:p>
        </w:tc>
        <w:tc>
          <w:tcPr>
            <w:tcW w:w="7815" w:type="dxa"/>
            <w:noWrap w:val="0"/>
            <w:vAlign w:val="center"/>
          </w:tcPr>
          <w:p w14:paraId="3A681144">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任务管理支持对应急处置任务新建、修改、删除等综合管理；</w:t>
            </w:r>
          </w:p>
          <w:p w14:paraId="630F1163">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任务新建支持普通模式和专家模式，普通模式适合应急处置经验欠缺的普通技术人员使用，专家模式适合具备一定应急处置能力与经验的专家人员使用；</w:t>
            </w:r>
          </w:p>
          <w:p w14:paraId="4F998CEA">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任务新建支持录入任务名称、任务地点、安全事件等级、接到任务事件、安全事件类别、选择预案、事件描述、任务要求、任务执行人员等信息； </w:t>
            </w:r>
          </w:p>
          <w:p w14:paraId="68275E0F">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任务新建支持 “安全事件类别”和自动“选择预案”自动判断功能；</w:t>
            </w:r>
          </w:p>
          <w:p w14:paraId="3A82BFBF">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b/>
                <w:bCs/>
                <w:color w:val="auto"/>
                <w:sz w:val="21"/>
                <w:szCs w:val="21"/>
                <w:highlight w:val="none"/>
                <w:u w:val="none"/>
              </w:rPr>
            </w:pPr>
            <w:r>
              <w:rPr>
                <w:rFonts w:hint="eastAsia" w:ascii="宋体" w:hAnsi="宋体" w:eastAsia="宋体" w:cs="宋体"/>
                <w:color w:val="auto"/>
                <w:sz w:val="21"/>
                <w:szCs w:val="21"/>
                <w:highlight w:val="none"/>
                <w:u w:val="none"/>
              </w:rPr>
              <w:t>任务执行提供应急处置模型流程，将应急处置过程划分为检测、抑制、根除、恢复、跟踪等不同阶段，引导用户操作应急处置步骤。</w:t>
            </w:r>
          </w:p>
          <w:p w14:paraId="338186E0">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应急处置模型流程中各处置阶段提供阶段目的、操作指导、工具执行和阶段记录等操作指引；</w:t>
            </w:r>
          </w:p>
          <w:p w14:paraId="23D9D726">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应急处置模型流程中工具执行支持用户自定义选择添加系统中集成的任意工具；</w:t>
            </w:r>
          </w:p>
          <w:p w14:paraId="357A47B9">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具备工具结果分析，支持展示应急任务各阶段使用的技术工具结果信息，提供数据和图表两种显示模式</w:t>
            </w:r>
            <w:r>
              <w:rPr>
                <w:rFonts w:hint="eastAsia" w:ascii="宋体" w:hAnsi="宋体" w:eastAsia="宋体" w:cs="宋体"/>
                <w:color w:val="auto"/>
                <w:kern w:val="0"/>
                <w:sz w:val="21"/>
                <w:szCs w:val="21"/>
                <w:highlight w:val="none"/>
                <w:u w:val="none"/>
                <w:lang w:eastAsia="zh-CN"/>
              </w:rPr>
              <w:t>；</w:t>
            </w:r>
          </w:p>
          <w:p w14:paraId="04321396">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支持输出WORD、PDF格式的应急处置过程报告</w:t>
            </w:r>
            <w:r>
              <w:rPr>
                <w:rFonts w:hint="eastAsia" w:ascii="宋体" w:hAnsi="宋体" w:eastAsia="宋体" w:cs="宋体"/>
                <w:color w:val="auto"/>
                <w:kern w:val="0"/>
                <w:sz w:val="21"/>
                <w:szCs w:val="21"/>
                <w:highlight w:val="none"/>
                <w:u w:val="none"/>
                <w:lang w:eastAsia="zh-CN"/>
              </w:rPr>
              <w:t>；</w:t>
            </w:r>
          </w:p>
        </w:tc>
      </w:tr>
      <w:tr w14:paraId="1B444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938" w:type="dxa"/>
            <w:vMerge w:val="continue"/>
            <w:noWrap w:val="0"/>
            <w:vAlign w:val="center"/>
          </w:tcPr>
          <w:p w14:paraId="2BACF07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u w:val="none"/>
              </w:rPr>
            </w:pPr>
          </w:p>
        </w:tc>
        <w:tc>
          <w:tcPr>
            <w:tcW w:w="1307" w:type="dxa"/>
            <w:noWrap w:val="0"/>
            <w:vAlign w:val="center"/>
          </w:tcPr>
          <w:p w14:paraId="31A3E70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调查处置管理</w:t>
            </w:r>
          </w:p>
        </w:tc>
        <w:tc>
          <w:tcPr>
            <w:tcW w:w="7815" w:type="dxa"/>
            <w:noWrap w:val="0"/>
            <w:vAlign w:val="top"/>
          </w:tcPr>
          <w:p w14:paraId="1525D395">
            <w:pPr>
              <w:keepNext w:val="0"/>
              <w:keepLines w:val="0"/>
              <w:pageBreakBefore w:val="0"/>
              <w:widowControl w:val="0"/>
              <w:numPr>
                <w:ilvl w:val="0"/>
                <w:numId w:val="10"/>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支持应急调查处置任务创建、修改、删除和列表展示等管理功能</w:t>
            </w:r>
            <w:r>
              <w:rPr>
                <w:rFonts w:hint="eastAsia" w:ascii="宋体" w:hAnsi="宋体" w:eastAsia="宋体" w:cs="宋体"/>
                <w:color w:val="auto"/>
                <w:sz w:val="21"/>
                <w:szCs w:val="21"/>
                <w:highlight w:val="none"/>
                <w:u w:val="none"/>
                <w:lang w:eastAsia="zh-CN"/>
              </w:rPr>
              <w:t>；</w:t>
            </w:r>
          </w:p>
          <w:p w14:paraId="130534EF">
            <w:pPr>
              <w:keepNext w:val="0"/>
              <w:keepLines w:val="0"/>
              <w:pageBreakBefore w:val="0"/>
              <w:widowControl w:val="0"/>
              <w:numPr>
                <w:ilvl w:val="0"/>
                <w:numId w:val="10"/>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支持填报和输出5中调查处置任务报告，分别是《信息系统资产名单》、《网络安全事件上报表》、《网络安全事件备案表》、《网络安全事件现场调查表》、《第三方网络安全事件分析表》</w:t>
            </w:r>
            <w:r>
              <w:rPr>
                <w:rFonts w:hint="eastAsia" w:ascii="宋体" w:hAnsi="宋体" w:eastAsia="宋体" w:cs="宋体"/>
                <w:color w:val="auto"/>
                <w:sz w:val="21"/>
                <w:szCs w:val="21"/>
                <w:highlight w:val="none"/>
                <w:u w:val="none"/>
                <w:lang w:eastAsia="zh-CN"/>
              </w:rPr>
              <w:t>；</w:t>
            </w:r>
          </w:p>
          <w:p w14:paraId="20830F31">
            <w:pPr>
              <w:keepNext w:val="0"/>
              <w:keepLines w:val="0"/>
              <w:pageBreakBefore w:val="0"/>
              <w:widowControl w:val="0"/>
              <w:numPr>
                <w:ilvl w:val="0"/>
                <w:numId w:val="10"/>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调查处置报表输出支持WORD、PDF、html、xml等格式；</w:t>
            </w:r>
          </w:p>
        </w:tc>
      </w:tr>
      <w:tr w14:paraId="0DC62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38" w:type="dxa"/>
            <w:vMerge w:val="continue"/>
            <w:noWrap w:val="0"/>
            <w:vAlign w:val="center"/>
          </w:tcPr>
          <w:p w14:paraId="5B16712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u w:val="none"/>
              </w:rPr>
            </w:pPr>
          </w:p>
        </w:tc>
        <w:tc>
          <w:tcPr>
            <w:tcW w:w="1307" w:type="dxa"/>
            <w:noWrap w:val="0"/>
            <w:vAlign w:val="center"/>
          </w:tcPr>
          <w:p w14:paraId="5CA5BD0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合规检查管理</w:t>
            </w:r>
          </w:p>
        </w:tc>
        <w:tc>
          <w:tcPr>
            <w:tcW w:w="7815" w:type="dxa"/>
            <w:noWrap w:val="0"/>
            <w:vAlign w:val="top"/>
          </w:tcPr>
          <w:p w14:paraId="06BB5B3F">
            <w:pPr>
              <w:keepNext w:val="0"/>
              <w:keepLines w:val="0"/>
              <w:pageBreakBefore w:val="0"/>
              <w:widowControl w:val="0"/>
              <w:numPr>
                <w:ilvl w:val="0"/>
                <w:numId w:val="11"/>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支持网络安全合规检查任务创建、修改、删除和列表展示等管理功能</w:t>
            </w:r>
            <w:r>
              <w:rPr>
                <w:rFonts w:hint="eastAsia" w:ascii="宋体" w:hAnsi="宋体" w:eastAsia="宋体" w:cs="宋体"/>
                <w:color w:val="auto"/>
                <w:sz w:val="21"/>
                <w:szCs w:val="21"/>
                <w:highlight w:val="none"/>
                <w:u w:val="none"/>
                <w:lang w:eastAsia="zh-CN"/>
              </w:rPr>
              <w:t>；</w:t>
            </w:r>
          </w:p>
          <w:p w14:paraId="73AAB1F2">
            <w:pPr>
              <w:keepNext w:val="0"/>
              <w:keepLines w:val="0"/>
              <w:pageBreakBefore w:val="0"/>
              <w:widowControl w:val="0"/>
              <w:numPr>
                <w:ilvl w:val="0"/>
                <w:numId w:val="11"/>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支持检查指标库管理，检查指标覆盖信息系统检查指标（一级、二级、三级、四级）、工控系统检查指标（一级、二级、三级、四级）、自定义检查指标管理；</w:t>
            </w:r>
          </w:p>
          <w:p w14:paraId="29AAD6BE">
            <w:pPr>
              <w:keepNext w:val="0"/>
              <w:keepLines w:val="0"/>
              <w:pageBreakBefore w:val="0"/>
              <w:widowControl w:val="0"/>
              <w:numPr>
                <w:ilvl w:val="0"/>
                <w:numId w:val="11"/>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自定义检查指标管理支持用户自定义行业网络安全检查指标内容，提供自定义检查表单模版导出和导入，支持对检查指标执行结果的选择项内容进行自定义</w:t>
            </w:r>
            <w:r>
              <w:rPr>
                <w:rFonts w:hint="eastAsia" w:ascii="宋体" w:hAnsi="宋体" w:eastAsia="宋体" w:cs="宋体"/>
                <w:color w:val="auto"/>
                <w:sz w:val="21"/>
                <w:szCs w:val="21"/>
                <w:highlight w:val="none"/>
                <w:u w:val="none"/>
                <w:lang w:eastAsia="zh-CN"/>
              </w:rPr>
              <w:t>；</w:t>
            </w:r>
          </w:p>
          <w:p w14:paraId="6A4A6DD0">
            <w:pPr>
              <w:keepNext w:val="0"/>
              <w:keepLines w:val="0"/>
              <w:pageBreakBefore w:val="0"/>
              <w:widowControl w:val="0"/>
              <w:numPr>
                <w:ilvl w:val="0"/>
                <w:numId w:val="11"/>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安全合规检查支持根据检查指标内容做访谈填报，检查结果含“是/否/不适用”三种类型</w:t>
            </w:r>
            <w:r>
              <w:rPr>
                <w:rFonts w:hint="eastAsia" w:ascii="宋体" w:hAnsi="宋体" w:eastAsia="宋体" w:cs="宋体"/>
                <w:color w:val="auto"/>
                <w:sz w:val="21"/>
                <w:szCs w:val="21"/>
                <w:highlight w:val="none"/>
                <w:u w:val="none"/>
                <w:lang w:eastAsia="zh-CN"/>
              </w:rPr>
              <w:t>；</w:t>
            </w:r>
          </w:p>
          <w:p w14:paraId="3E7261BE">
            <w:pPr>
              <w:keepNext w:val="0"/>
              <w:keepLines w:val="0"/>
              <w:pageBreakBefore w:val="0"/>
              <w:widowControl w:val="0"/>
              <w:numPr>
                <w:ilvl w:val="0"/>
                <w:numId w:val="11"/>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安全合规检查支持检查指标统计功能，对检查指标总数、已完成、未完成等数量进行统计</w:t>
            </w:r>
            <w:r>
              <w:rPr>
                <w:rFonts w:hint="eastAsia" w:ascii="宋体" w:hAnsi="宋体" w:eastAsia="宋体" w:cs="宋体"/>
                <w:color w:val="auto"/>
                <w:sz w:val="21"/>
                <w:szCs w:val="21"/>
                <w:highlight w:val="none"/>
                <w:u w:val="none"/>
                <w:lang w:eastAsia="zh-CN"/>
              </w:rPr>
              <w:t>；</w:t>
            </w:r>
          </w:p>
        </w:tc>
      </w:tr>
      <w:tr w14:paraId="6A883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938" w:type="dxa"/>
            <w:vMerge w:val="continue"/>
            <w:noWrap w:val="0"/>
            <w:vAlign w:val="center"/>
          </w:tcPr>
          <w:p w14:paraId="69538ED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u w:val="none"/>
              </w:rPr>
            </w:pPr>
          </w:p>
        </w:tc>
        <w:tc>
          <w:tcPr>
            <w:tcW w:w="1307" w:type="dxa"/>
            <w:noWrap w:val="0"/>
            <w:vAlign w:val="center"/>
          </w:tcPr>
          <w:p w14:paraId="3C70FBE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kern w:val="0"/>
                <w:sz w:val="21"/>
                <w:szCs w:val="21"/>
                <w:highlight w:val="none"/>
                <w:u w:val="none"/>
              </w:rPr>
            </w:pPr>
            <w:r>
              <w:rPr>
                <w:rFonts w:hint="eastAsia" w:ascii="宋体" w:hAnsi="宋体" w:eastAsia="宋体" w:cs="宋体"/>
                <w:color w:val="auto"/>
                <w:sz w:val="21"/>
                <w:szCs w:val="21"/>
                <w:highlight w:val="none"/>
                <w:u w:val="none"/>
              </w:rPr>
              <w:t>异常检测工具库</w:t>
            </w:r>
          </w:p>
        </w:tc>
        <w:tc>
          <w:tcPr>
            <w:tcW w:w="7815" w:type="dxa"/>
            <w:noWrap w:val="0"/>
            <w:vAlign w:val="center"/>
          </w:tcPr>
          <w:p w14:paraId="0025408C">
            <w:pPr>
              <w:keepNext w:val="0"/>
              <w:keepLines w:val="0"/>
              <w:pageBreakBefore w:val="0"/>
              <w:widowControl w:val="0"/>
              <w:numPr>
                <w:ilvl w:val="0"/>
                <w:numId w:val="12"/>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漏洞扫描工具，支持对windows、Unix、Linux等各版本操作系统、Mysql、Oracle、SQL Server数据库，Apache、IIS等各版本应用服务软件的漏洞进行自动扫描分析；</w:t>
            </w:r>
          </w:p>
          <w:p w14:paraId="4954AEFD">
            <w:pPr>
              <w:keepNext w:val="0"/>
              <w:keepLines w:val="0"/>
              <w:pageBreakBefore w:val="0"/>
              <w:widowControl w:val="0"/>
              <w:numPr>
                <w:ilvl w:val="0"/>
                <w:numId w:val="12"/>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弱口令检测工具，支持对SMB、MSSQL、FTP、MYSQL、Oracle、RDP、POP3、SSH、HTTP、Telnet、VNC、SysBase等多种应用服务及协议做弱口令检测；</w:t>
            </w:r>
          </w:p>
          <w:p w14:paraId="5DC37320">
            <w:pPr>
              <w:keepNext w:val="0"/>
              <w:keepLines w:val="0"/>
              <w:pageBreakBefore w:val="0"/>
              <w:widowControl w:val="0"/>
              <w:numPr>
                <w:ilvl w:val="0"/>
                <w:numId w:val="12"/>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病毒检查工具：支持自动扫描系统关键目录中(例如：system32)所存在的病毒程序，支持快速扫描、全盘扫描和自定义扫描三种模式；</w:t>
            </w:r>
          </w:p>
          <w:p w14:paraId="5AC8E4A8">
            <w:pPr>
              <w:keepNext w:val="0"/>
              <w:keepLines w:val="0"/>
              <w:pageBreakBefore w:val="0"/>
              <w:widowControl w:val="0"/>
              <w:numPr>
                <w:ilvl w:val="0"/>
                <w:numId w:val="12"/>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木马检查工具：支持自动扫描系统关键目录中所存在的木马、后门等内容，支持快速扫描、全盘扫描和自定义扫描三种模式；</w:t>
            </w:r>
          </w:p>
          <w:p w14:paraId="753ED88E">
            <w:pPr>
              <w:keepNext w:val="0"/>
              <w:keepLines w:val="0"/>
              <w:pageBreakBefore w:val="0"/>
              <w:widowControl w:val="0"/>
              <w:numPr>
                <w:ilvl w:val="0"/>
                <w:numId w:val="12"/>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网站恶意代码检查工具：用于检查WEB服务器目录路径中ASP、ASPX、JSP、PHP、CSS等策略是否感染或存在恶意代码；</w:t>
            </w:r>
          </w:p>
          <w:p w14:paraId="137CA0EA">
            <w:pPr>
              <w:keepNext w:val="0"/>
              <w:keepLines w:val="0"/>
              <w:pageBreakBefore w:val="0"/>
              <w:widowControl w:val="0"/>
              <w:numPr>
                <w:ilvl w:val="0"/>
                <w:numId w:val="12"/>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Windows主机配置合规检查工具：支持对安装Windows操作系统的主机（终端或服务器）进行安全配置信息自动化采集与合规分析</w:t>
            </w:r>
            <w:r>
              <w:rPr>
                <w:rFonts w:hint="eastAsia" w:ascii="宋体" w:hAnsi="宋体" w:eastAsia="宋体" w:cs="宋体"/>
                <w:color w:val="auto"/>
                <w:sz w:val="21"/>
                <w:szCs w:val="21"/>
                <w:highlight w:val="none"/>
                <w:u w:val="none"/>
                <w:lang w:eastAsia="zh-CN"/>
              </w:rPr>
              <w:t>；</w:t>
            </w:r>
          </w:p>
          <w:p w14:paraId="1BAAF390">
            <w:pPr>
              <w:keepNext w:val="0"/>
              <w:keepLines w:val="0"/>
              <w:pageBreakBefore w:val="0"/>
              <w:widowControl w:val="0"/>
              <w:numPr>
                <w:ilvl w:val="0"/>
                <w:numId w:val="12"/>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Linux主机配置合规检查工具：支持对安装Linuxs操作系统的主机（终端或服务器）进行安全配置信息自动化采集与合规分析</w:t>
            </w:r>
            <w:r>
              <w:rPr>
                <w:rFonts w:hint="eastAsia" w:ascii="宋体" w:hAnsi="宋体" w:eastAsia="宋体" w:cs="宋体"/>
                <w:color w:val="auto"/>
                <w:sz w:val="21"/>
                <w:szCs w:val="21"/>
                <w:highlight w:val="none"/>
                <w:u w:val="none"/>
                <w:lang w:eastAsia="zh-CN"/>
              </w:rPr>
              <w:t>；</w:t>
            </w:r>
          </w:p>
          <w:p w14:paraId="6566CFAD">
            <w:pPr>
              <w:keepNext w:val="0"/>
              <w:keepLines w:val="0"/>
              <w:pageBreakBefore w:val="0"/>
              <w:widowControl w:val="0"/>
              <w:numPr>
                <w:ilvl w:val="0"/>
                <w:numId w:val="12"/>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网络及安全设备配置合规检查工具：支持对网络设备（例如交换机）和安全设备（例如防火墙）设备进行安全配置信息自动化采集与合规性分析</w:t>
            </w:r>
            <w:r>
              <w:rPr>
                <w:rFonts w:hint="eastAsia" w:ascii="宋体" w:hAnsi="宋体" w:eastAsia="宋体" w:cs="宋体"/>
                <w:color w:val="auto"/>
                <w:sz w:val="21"/>
                <w:szCs w:val="21"/>
                <w:highlight w:val="none"/>
                <w:u w:val="none"/>
                <w:lang w:eastAsia="zh-CN"/>
              </w:rPr>
              <w:t>；</w:t>
            </w:r>
          </w:p>
        </w:tc>
      </w:tr>
      <w:tr w14:paraId="4D915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938" w:type="dxa"/>
            <w:vMerge w:val="continue"/>
            <w:noWrap w:val="0"/>
            <w:vAlign w:val="center"/>
          </w:tcPr>
          <w:p w14:paraId="28D741E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u w:val="none"/>
              </w:rPr>
            </w:pPr>
          </w:p>
        </w:tc>
        <w:tc>
          <w:tcPr>
            <w:tcW w:w="1307" w:type="dxa"/>
            <w:noWrap w:val="0"/>
            <w:vAlign w:val="center"/>
          </w:tcPr>
          <w:p w14:paraId="5DF4537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kern w:val="0"/>
                <w:sz w:val="21"/>
                <w:szCs w:val="21"/>
                <w:highlight w:val="none"/>
                <w:u w:val="none"/>
              </w:rPr>
            </w:pPr>
            <w:r>
              <w:rPr>
                <w:rFonts w:hint="eastAsia" w:ascii="宋体" w:hAnsi="宋体" w:eastAsia="宋体" w:cs="宋体"/>
                <w:color w:val="auto"/>
                <w:sz w:val="21"/>
                <w:szCs w:val="21"/>
                <w:highlight w:val="none"/>
                <w:u w:val="none"/>
              </w:rPr>
              <w:t>应急工具库</w:t>
            </w:r>
          </w:p>
        </w:tc>
        <w:tc>
          <w:tcPr>
            <w:tcW w:w="7815" w:type="dxa"/>
            <w:noWrap w:val="0"/>
            <w:vAlign w:val="top"/>
          </w:tcPr>
          <w:p w14:paraId="495E01FC">
            <w:pPr>
              <w:keepNext w:val="0"/>
              <w:keepLines w:val="0"/>
              <w:pageBreakBefore w:val="0"/>
              <w:widowControl w:val="0"/>
              <w:numPr>
                <w:ilvl w:val="0"/>
                <w:numId w:val="13"/>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Windows主机配置加固工具：支持对主流Windows操作系统、服务应用（IIS、tomcat），数据库（Oracle、MySQL、sqlserver、达梦、人大金仓、神州通用）进行安全配置自动加固；</w:t>
            </w:r>
          </w:p>
          <w:p w14:paraId="707E8C5B">
            <w:pPr>
              <w:keepNext w:val="0"/>
              <w:keepLines w:val="0"/>
              <w:pageBreakBefore w:val="0"/>
              <w:widowControl w:val="0"/>
              <w:numPr>
                <w:ilvl w:val="0"/>
                <w:numId w:val="13"/>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Linux主机配置加固工具：支持对主流Linux操作系统、服务应用（tomcat）、数据库（oracle、mysql）进行安全配置自动加固；</w:t>
            </w:r>
          </w:p>
          <w:p w14:paraId="4740FDB0">
            <w:pPr>
              <w:keepNext w:val="0"/>
              <w:keepLines w:val="0"/>
              <w:pageBreakBefore w:val="0"/>
              <w:widowControl w:val="0"/>
              <w:numPr>
                <w:ilvl w:val="0"/>
                <w:numId w:val="13"/>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系统备份恢复工具：支持对安装主流操作系统（windows、Unix、Linux）的主机进行系统镜像备份，同时也支持通过硬盘镜像方式对目标主机进行系统快速恢复；</w:t>
            </w:r>
          </w:p>
          <w:p w14:paraId="7B1425E3">
            <w:pPr>
              <w:keepNext w:val="0"/>
              <w:keepLines w:val="0"/>
              <w:pageBreakBefore w:val="0"/>
              <w:widowControl w:val="0"/>
              <w:numPr>
                <w:ilvl w:val="0"/>
                <w:numId w:val="13"/>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日志提取工具：支持主流操作系统（Windows、linux、Unix、中标麒麟等）、数据库（MySQL，Oracle，SQLserve、金仓、达梦、神州等）、应用服务软件（Apache、IIS等）的进程/服务运行日志、操作系统日志、数据库日志、网络访问日志等进行提取。</w:t>
            </w:r>
          </w:p>
        </w:tc>
      </w:tr>
      <w:tr w14:paraId="454BC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938" w:type="dxa"/>
            <w:vMerge w:val="continue"/>
            <w:noWrap w:val="0"/>
            <w:vAlign w:val="center"/>
          </w:tcPr>
          <w:p w14:paraId="4AC5C10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u w:val="none"/>
              </w:rPr>
            </w:pPr>
          </w:p>
        </w:tc>
        <w:tc>
          <w:tcPr>
            <w:tcW w:w="1307" w:type="dxa"/>
            <w:noWrap w:val="0"/>
            <w:vAlign w:val="center"/>
          </w:tcPr>
          <w:p w14:paraId="3D8BCCA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专家知识库</w:t>
            </w:r>
          </w:p>
        </w:tc>
        <w:tc>
          <w:tcPr>
            <w:tcW w:w="7815" w:type="dxa"/>
            <w:noWrap w:val="0"/>
            <w:vAlign w:val="center"/>
          </w:tcPr>
          <w:p w14:paraId="40136FF4">
            <w:pPr>
              <w:keepNext w:val="0"/>
              <w:keepLines w:val="0"/>
              <w:pageBreakBefore w:val="0"/>
              <w:widowControl w:val="0"/>
              <w:numPr>
                <w:ilvl w:val="0"/>
                <w:numId w:val="14"/>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支持漏洞库管理，可根据漏洞名称、漏洞编号等有效关键字搜索和查看对应的漏洞详情信息。</w:t>
            </w:r>
          </w:p>
          <w:p w14:paraId="38808312">
            <w:pPr>
              <w:keepNext w:val="0"/>
              <w:keepLines w:val="0"/>
              <w:pageBreakBefore w:val="0"/>
              <w:widowControl w:val="0"/>
              <w:numPr>
                <w:ilvl w:val="0"/>
                <w:numId w:val="15"/>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支持安全知识管理，安全知识包含常用命令、小技巧、其他网络安全知识等，满足用户不同场景下对应急处置安全知识的快速搜索和展示。</w:t>
            </w:r>
          </w:p>
          <w:p w14:paraId="7AE39AE4">
            <w:pPr>
              <w:keepNext w:val="0"/>
              <w:keepLines w:val="0"/>
              <w:pageBreakBefore w:val="0"/>
              <w:widowControl w:val="0"/>
              <w:numPr>
                <w:ilvl w:val="0"/>
                <w:numId w:val="15"/>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支持应急预案管理，提供多种网络安全突发事件（攻击类、入侵、恶意代码等）的应急处置预案，为不同事件场景提供应急处置方法。</w:t>
            </w:r>
          </w:p>
        </w:tc>
      </w:tr>
      <w:tr w14:paraId="4CC63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938" w:type="dxa"/>
            <w:vMerge w:val="continue"/>
            <w:noWrap w:val="0"/>
            <w:vAlign w:val="center"/>
          </w:tcPr>
          <w:p w14:paraId="24D96C7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u w:val="none"/>
              </w:rPr>
            </w:pPr>
          </w:p>
        </w:tc>
        <w:tc>
          <w:tcPr>
            <w:tcW w:w="1307" w:type="dxa"/>
            <w:noWrap w:val="0"/>
            <w:vAlign w:val="center"/>
          </w:tcPr>
          <w:p w14:paraId="59F6AA6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部署</w:t>
            </w:r>
          </w:p>
        </w:tc>
        <w:tc>
          <w:tcPr>
            <w:tcW w:w="7815" w:type="dxa"/>
            <w:noWrap w:val="0"/>
            <w:vAlign w:val="top"/>
          </w:tcPr>
          <w:p w14:paraId="50B75165">
            <w:pPr>
              <w:keepNext w:val="0"/>
              <w:keepLines w:val="0"/>
              <w:pageBreakBefore w:val="0"/>
              <w:widowControl w:val="0"/>
              <w:numPr>
                <w:ilvl w:val="0"/>
                <w:numId w:val="16"/>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产品部署在Linux操作系统硬件平台上</w:t>
            </w:r>
            <w:r>
              <w:rPr>
                <w:rFonts w:hint="eastAsia" w:ascii="宋体" w:hAnsi="宋体" w:eastAsia="宋体" w:cs="宋体"/>
                <w:color w:val="auto"/>
                <w:sz w:val="21"/>
                <w:szCs w:val="21"/>
                <w:highlight w:val="none"/>
                <w:u w:val="none"/>
                <w:lang w:eastAsia="zh-CN"/>
              </w:rPr>
              <w:t>；</w:t>
            </w:r>
          </w:p>
        </w:tc>
      </w:tr>
      <w:tr w14:paraId="4DA9E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938" w:type="dxa"/>
            <w:noWrap w:val="0"/>
            <w:vAlign w:val="center"/>
          </w:tcPr>
          <w:p w14:paraId="57CCE05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资质</w:t>
            </w:r>
          </w:p>
        </w:tc>
        <w:tc>
          <w:tcPr>
            <w:tcW w:w="1307" w:type="dxa"/>
            <w:noWrap w:val="0"/>
            <w:vAlign w:val="center"/>
          </w:tcPr>
          <w:p w14:paraId="63B07DD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产品资质</w:t>
            </w:r>
          </w:p>
        </w:tc>
        <w:tc>
          <w:tcPr>
            <w:tcW w:w="7815" w:type="dxa"/>
            <w:noWrap w:val="0"/>
            <w:vAlign w:val="top"/>
          </w:tcPr>
          <w:p w14:paraId="4BB96963">
            <w:pPr>
              <w:keepNext w:val="0"/>
              <w:keepLines w:val="0"/>
              <w:pageBreakBefore w:val="0"/>
              <w:widowControl w:val="0"/>
              <w:numPr>
                <w:ilvl w:val="0"/>
                <w:numId w:val="17"/>
              </w:numPr>
              <w:kinsoku/>
              <w:wordWrap/>
              <w:overflowPunct/>
              <w:topLinePunct w:val="0"/>
              <w:autoSpaceDE/>
              <w:autoSpaceDN/>
              <w:bidi w:val="0"/>
              <w:adjustRightInd/>
              <w:snapToGrid w:val="0"/>
              <w:spacing w:line="360" w:lineRule="auto"/>
              <w:ind w:left="440" w:hanging="440"/>
              <w:jc w:val="both"/>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产品具备自主研制能力证书《计算机软件著作权登记证书》；</w:t>
            </w:r>
            <w:r>
              <w:rPr>
                <w:rFonts w:hint="eastAsia" w:ascii="宋体" w:hAnsi="宋体" w:eastAsia="宋体" w:cs="宋体"/>
                <w:b/>
                <w:bCs/>
                <w:color w:val="FF0000"/>
                <w:kern w:val="2"/>
                <w:sz w:val="21"/>
                <w:szCs w:val="21"/>
                <w:highlight w:val="none"/>
                <w:lang w:val="en-US" w:eastAsia="zh-CN" w:bidi="ar-SA"/>
              </w:rPr>
              <w:t>（投标时须提供证书复印件加盖投标人公章）</w:t>
            </w:r>
          </w:p>
          <w:p w14:paraId="4DA6610A">
            <w:pPr>
              <w:keepNext w:val="0"/>
              <w:keepLines w:val="0"/>
              <w:pageBreakBefore w:val="0"/>
              <w:widowControl w:val="0"/>
              <w:numPr>
                <w:ilvl w:val="0"/>
                <w:numId w:val="17"/>
              </w:numPr>
              <w:kinsoku/>
              <w:wordWrap/>
              <w:overflowPunct/>
              <w:topLinePunct w:val="0"/>
              <w:autoSpaceDE/>
              <w:autoSpaceDN/>
              <w:bidi w:val="0"/>
              <w:adjustRightInd/>
              <w:snapToGrid w:val="0"/>
              <w:spacing w:line="360" w:lineRule="auto"/>
              <w:ind w:left="440" w:hanging="44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产品具备国家信息安全漏洞库兼容性资质证书。</w:t>
            </w:r>
            <w:r>
              <w:rPr>
                <w:rFonts w:hint="eastAsia" w:ascii="宋体" w:hAnsi="宋体" w:eastAsia="宋体" w:cs="宋体"/>
                <w:b/>
                <w:bCs/>
                <w:color w:val="FF0000"/>
                <w:kern w:val="2"/>
                <w:sz w:val="21"/>
                <w:szCs w:val="21"/>
                <w:highlight w:val="none"/>
                <w:lang w:val="en-US" w:eastAsia="zh-CN" w:bidi="ar-SA"/>
              </w:rPr>
              <w:t>（投标时须提供证书复印件加盖投标人公章）</w:t>
            </w:r>
          </w:p>
        </w:tc>
      </w:tr>
    </w:tbl>
    <w:p w14:paraId="593B81CD">
      <w:pPr>
        <w:rPr>
          <w:rFonts w:hint="eastAsia" w:ascii="宋体" w:hAnsi="宋体" w:eastAsia="宋体" w:cs="宋体"/>
        </w:rPr>
      </w:pPr>
    </w:p>
    <w:p w14:paraId="12C43051">
      <w:pPr>
        <w:rPr>
          <w:rFonts w:hint="eastAsia" w:ascii="宋体" w:hAnsi="宋体" w:eastAsia="宋体" w:cs="宋体"/>
          <w:b/>
          <w:bCs/>
          <w:color w:val="auto"/>
          <w:sz w:val="36"/>
          <w:highlight w:val="none"/>
        </w:rPr>
      </w:pPr>
    </w:p>
    <w:p w14:paraId="3BEA7BB6">
      <w:pPr>
        <w:rPr>
          <w:rFonts w:hint="eastAsia" w:ascii="宋体" w:hAnsi="宋体" w:eastAsia="宋体" w:cs="宋体"/>
          <w:b/>
          <w:bCs/>
          <w:color w:val="auto"/>
          <w:sz w:val="36"/>
          <w:highlight w:val="none"/>
        </w:rPr>
      </w:pPr>
      <w:r>
        <w:rPr>
          <w:rFonts w:hint="eastAsia" w:ascii="宋体" w:hAnsi="宋体" w:eastAsia="宋体" w:cs="宋体"/>
          <w:b/>
          <w:bCs/>
          <w:color w:val="auto"/>
          <w:sz w:val="36"/>
          <w:highlight w:val="none"/>
        </w:rPr>
        <w:br w:type="page"/>
      </w:r>
    </w:p>
    <w:p w14:paraId="31D79B88">
      <w:pPr>
        <w:keepNext w:val="0"/>
        <w:keepLines w:val="0"/>
        <w:pageBreakBefore w:val="0"/>
        <w:widowControl w:val="0"/>
        <w:kinsoku/>
        <w:wordWrap/>
        <w:overflowPunct/>
        <w:topLinePunct w:val="0"/>
        <w:autoSpaceDE/>
        <w:autoSpaceDN/>
        <w:bidi w:val="0"/>
        <w:adjustRightInd/>
        <w:snapToGrid/>
        <w:spacing w:line="440" w:lineRule="exact"/>
        <w:ind w:firstLine="742" w:firstLineChars="200"/>
        <w:contextualSpacing/>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36"/>
          <w:highlight w:val="none"/>
        </w:rPr>
        <w:t>第</w:t>
      </w:r>
      <w:r>
        <w:rPr>
          <w:rFonts w:hint="eastAsia" w:ascii="宋体" w:hAnsi="宋体" w:eastAsia="宋体" w:cs="宋体"/>
          <w:b/>
          <w:bCs/>
          <w:color w:val="auto"/>
          <w:sz w:val="36"/>
          <w:highlight w:val="none"/>
          <w:lang w:val="en-US" w:eastAsia="zh-CN"/>
        </w:rPr>
        <w:t>三</w:t>
      </w:r>
      <w:r>
        <w:rPr>
          <w:rFonts w:hint="eastAsia" w:ascii="宋体" w:hAnsi="宋体" w:eastAsia="宋体" w:cs="宋体"/>
          <w:b/>
          <w:bCs/>
          <w:color w:val="auto"/>
          <w:sz w:val="36"/>
          <w:highlight w:val="none"/>
        </w:rPr>
        <w:t xml:space="preserve">部分  </w:t>
      </w:r>
      <w:r>
        <w:rPr>
          <w:rFonts w:hint="eastAsia" w:ascii="宋体" w:hAnsi="宋体" w:eastAsia="宋体" w:cs="宋体"/>
          <w:b/>
          <w:bCs/>
          <w:color w:val="auto"/>
          <w:sz w:val="36"/>
          <w:szCs w:val="22"/>
          <w:highlight w:val="none"/>
        </w:rPr>
        <w:t xml:space="preserve"> 谈判、定标</w:t>
      </w:r>
    </w:p>
    <w:p w14:paraId="29D2642F">
      <w:pPr>
        <w:spacing w:line="460" w:lineRule="exact"/>
        <w:ind w:firstLine="442"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招标人在规定的时间、地点组织谈判。参加谈判的投标人授权代表凭授权委托书和身份证原件参加谈判。谈判记录为本</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文件不可分割的一部分，与其具有同等的法律效力。</w:t>
      </w:r>
    </w:p>
    <w:p w14:paraId="4FBE2F51">
      <w:pPr>
        <w:spacing w:line="460" w:lineRule="exact"/>
        <w:ind w:firstLine="442"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整个谈判过程按资格审查、审查响应文件、商务评审、谈判四个阶段进行。</w:t>
      </w:r>
    </w:p>
    <w:p w14:paraId="5B846CD1">
      <w:pPr>
        <w:spacing w:line="460" w:lineRule="exact"/>
        <w:ind w:firstLine="442"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1、资格审查</w:t>
      </w:r>
    </w:p>
    <w:p w14:paraId="1AC02698">
      <w:pPr>
        <w:spacing w:line="460" w:lineRule="exact"/>
        <w:ind w:firstLine="442"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由谈判小组按</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文件的规定，符合要求的，审查通过；否则，资格审查不通过，不可进入后续谈判。</w:t>
      </w:r>
    </w:p>
    <w:p w14:paraId="003E5109">
      <w:pPr>
        <w:spacing w:line="460" w:lineRule="exact"/>
        <w:ind w:firstLine="442"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审查以投标人提供的：</w:t>
      </w:r>
    </w:p>
    <w:p w14:paraId="7C275B3F">
      <w:pPr>
        <w:numPr>
          <w:ilvl w:val="0"/>
          <w:numId w:val="18"/>
        </w:numPr>
        <w:spacing w:line="460" w:lineRule="exact"/>
        <w:ind w:firstLine="442" w:firstLineChars="200"/>
        <w:contextualSpacing/>
        <w:rPr>
          <w:rFonts w:hint="eastAsia" w:eastAsia="宋体"/>
          <w:color w:val="auto"/>
          <w:highlight w:val="none"/>
          <w:lang w:val="en-US" w:eastAsia="zh-CN"/>
        </w:rPr>
      </w:pPr>
      <w:r>
        <w:rPr>
          <w:rFonts w:hint="eastAsia" w:ascii="宋体" w:hAnsi="宋体" w:eastAsia="宋体" w:cs="宋体"/>
          <w:color w:val="auto"/>
          <w:sz w:val="21"/>
          <w:szCs w:val="21"/>
          <w:highlight w:val="none"/>
          <w:lang w:val="en-US" w:eastAsia="zh-CN"/>
        </w:rPr>
        <w:t>投标人营业执照（副本）复印件</w:t>
      </w:r>
      <w:r>
        <w:rPr>
          <w:rFonts w:hint="eastAsia" w:ascii="宋体" w:hAnsi="宋体" w:eastAsia="宋体" w:cs="宋体"/>
          <w:color w:val="auto"/>
          <w:sz w:val="21"/>
          <w:szCs w:val="21"/>
          <w:highlight w:val="none"/>
        </w:rPr>
        <w:t>加盖</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公章。</w:t>
      </w:r>
    </w:p>
    <w:p w14:paraId="30651115">
      <w:pPr>
        <w:pStyle w:val="22"/>
        <w:ind w:firstLine="442"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kern w:val="2"/>
          <w:sz w:val="21"/>
          <w:szCs w:val="21"/>
          <w:highlight w:val="none"/>
          <w:lang w:val="en-US" w:eastAsia="zh-CN" w:bidi="ar-SA"/>
        </w:rPr>
        <w:t>项目负责人及</w:t>
      </w:r>
      <w:r>
        <w:rPr>
          <w:rFonts w:hint="eastAsia" w:ascii="宋体" w:hAnsi="宋体" w:eastAsia="宋体" w:cs="Times New Roman"/>
          <w:color w:val="auto"/>
          <w:sz w:val="21"/>
          <w:szCs w:val="21"/>
          <w:highlight w:val="none"/>
          <w:lang w:val="en-US" w:eastAsia="zh-CN"/>
        </w:rPr>
        <w:t>代理人</w:t>
      </w:r>
      <w:r>
        <w:rPr>
          <w:rFonts w:hint="eastAsia" w:ascii="宋体" w:hAnsi="宋体" w:eastAsia="宋体" w:cs="宋体"/>
          <w:color w:val="auto"/>
          <w:kern w:val="2"/>
          <w:sz w:val="21"/>
          <w:szCs w:val="21"/>
          <w:highlight w:val="none"/>
          <w:lang w:val="en-US" w:eastAsia="zh-CN" w:bidi="ar-SA"/>
        </w:rPr>
        <w:t>的缴纳养老保险缴费记录证明加盖投标人公章；（退休人员提供在本单位相关证明。）</w:t>
      </w:r>
    </w:p>
    <w:p w14:paraId="223CA3C9">
      <w:pPr>
        <w:spacing w:line="460" w:lineRule="exact"/>
        <w:ind w:firstLine="442"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谈判小组对上述材料</w:t>
      </w:r>
      <w:r>
        <w:rPr>
          <w:rFonts w:hint="eastAsia" w:ascii="宋体" w:hAnsi="宋体" w:eastAsia="宋体" w:cs="宋体"/>
          <w:color w:val="auto"/>
          <w:sz w:val="21"/>
          <w:szCs w:val="21"/>
          <w:highlight w:val="none"/>
          <w:lang w:val="en-US" w:eastAsia="zh-CN"/>
        </w:rPr>
        <w:t>加盖投标单位公章的复印件</w:t>
      </w:r>
      <w:r>
        <w:rPr>
          <w:rFonts w:hint="eastAsia" w:ascii="宋体" w:hAnsi="宋体" w:eastAsia="宋体" w:cs="宋体"/>
          <w:color w:val="auto"/>
          <w:sz w:val="21"/>
          <w:szCs w:val="21"/>
          <w:highlight w:val="none"/>
        </w:rPr>
        <w:t>进行审查，未提交</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上述资料不全的，不予通过资格审查。</w:t>
      </w:r>
    </w:p>
    <w:p w14:paraId="31027D7D">
      <w:pPr>
        <w:spacing w:line="460" w:lineRule="exact"/>
        <w:ind w:firstLine="442"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2、审查响应文件</w:t>
      </w:r>
    </w:p>
    <w:p w14:paraId="0AA194D1">
      <w:pPr>
        <w:spacing w:line="460" w:lineRule="exact"/>
        <w:ind w:firstLine="442"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2.1对响应文件初审</w:t>
      </w:r>
    </w:p>
    <w:p w14:paraId="0CFC6A02">
      <w:pPr>
        <w:spacing w:line="460" w:lineRule="exact"/>
        <w:ind w:firstLine="442"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在资格审查后，谈判小组负责审查所有响应文件。对有关内容进行审查。</w:t>
      </w:r>
    </w:p>
    <w:p w14:paraId="270C91D1">
      <w:pPr>
        <w:spacing w:line="460" w:lineRule="exact"/>
        <w:ind w:firstLine="442"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初审内容为响应文件是否符合</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文件的要求,内容是否完整,价格构成有无计算错误,文件签署是否齐全。</w:t>
      </w:r>
    </w:p>
    <w:p w14:paraId="435E599D">
      <w:pPr>
        <w:spacing w:line="460" w:lineRule="exact"/>
        <w:ind w:firstLine="442"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响应文件如出现本文件</w:t>
      </w:r>
      <w:r>
        <w:rPr>
          <w:rFonts w:hint="eastAsia" w:ascii="宋体" w:hAnsi="宋体" w:eastAsia="宋体" w:cs="宋体"/>
          <w:color w:val="auto"/>
          <w:sz w:val="21"/>
          <w:szCs w:val="21"/>
          <w:highlight w:val="none"/>
          <w:lang w:val="en-US" w:eastAsia="zh-CN"/>
        </w:rPr>
        <w:t>无效标</w:t>
      </w:r>
      <w:r>
        <w:rPr>
          <w:rFonts w:hint="eastAsia" w:ascii="宋体" w:hAnsi="宋体" w:eastAsia="宋体" w:cs="宋体"/>
          <w:color w:val="auto"/>
          <w:sz w:val="21"/>
          <w:szCs w:val="21"/>
          <w:highlight w:val="none"/>
        </w:rPr>
        <w:t>情形之一的，为无效响应文件，取消其进入技术和商务评审阶段的资格。</w:t>
      </w:r>
    </w:p>
    <w:p w14:paraId="72703351">
      <w:pPr>
        <w:spacing w:line="460" w:lineRule="exact"/>
        <w:ind w:firstLine="442"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2.2响应文件的澄清</w:t>
      </w:r>
    </w:p>
    <w:p w14:paraId="0DCC8F39">
      <w:pPr>
        <w:spacing w:line="460" w:lineRule="exact"/>
        <w:ind w:firstLine="442"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1）谈判时，谈判小组如认为需要，可要求投标人对响应文件中的有关问题进行澄清或提供补充说明及有关资料。</w:t>
      </w:r>
    </w:p>
    <w:p w14:paraId="60337BB9">
      <w:pPr>
        <w:spacing w:line="460" w:lineRule="exact"/>
        <w:ind w:firstLine="442"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2）投标人对响应文件的澄清不得改变响应文件的实质内容。</w:t>
      </w:r>
    </w:p>
    <w:p w14:paraId="52780EF6">
      <w:pPr>
        <w:spacing w:line="460" w:lineRule="exact"/>
        <w:ind w:firstLine="442"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文件的修改：</w:t>
      </w:r>
    </w:p>
    <w:p w14:paraId="7ACEA6D8">
      <w:pPr>
        <w:spacing w:line="460" w:lineRule="exact"/>
        <w:ind w:firstLine="442"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招标人及谈判小组可根据招标人的需求主动地或在解答投标人澄清的问题时对</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文件进行修改或补充。谈判前</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文件的修改将在谈判时书面告知参加谈判的投标人。</w:t>
      </w:r>
    </w:p>
    <w:p w14:paraId="783C3585">
      <w:pPr>
        <w:spacing w:line="460" w:lineRule="exact"/>
        <w:ind w:firstLine="442"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3、商务评审</w:t>
      </w:r>
    </w:p>
    <w:p w14:paraId="73AB782D">
      <w:pPr>
        <w:spacing w:line="460" w:lineRule="exact"/>
        <w:ind w:firstLine="442"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由谈判小组根据</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文件报价书商务要求的规定，对报价的合理性和报价进行审查（响应文件未被认定为废标；响应文件的</w:t>
      </w:r>
      <w:r>
        <w:rPr>
          <w:rFonts w:hint="eastAsia" w:ascii="宋体" w:hAnsi="宋体" w:eastAsia="宋体" w:cs="宋体"/>
          <w:color w:val="auto"/>
          <w:sz w:val="21"/>
          <w:szCs w:val="21"/>
          <w:highlight w:val="none"/>
          <w:lang w:val="en-US" w:eastAsia="zh-CN"/>
        </w:rPr>
        <w:t>服务期</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保障</w:t>
      </w:r>
      <w:r>
        <w:rPr>
          <w:rFonts w:hint="eastAsia" w:ascii="宋体" w:hAnsi="宋体" w:eastAsia="宋体" w:cs="宋体"/>
          <w:color w:val="auto"/>
          <w:sz w:val="21"/>
          <w:szCs w:val="21"/>
          <w:highlight w:val="none"/>
        </w:rPr>
        <w:t>服务等商务条款均符合</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文件规定的要求）。</w:t>
      </w:r>
    </w:p>
    <w:p w14:paraId="4848E799">
      <w:pPr>
        <w:spacing w:line="460" w:lineRule="exact"/>
        <w:ind w:firstLine="442"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商务评审不通过，不得进入下一步谈判。</w:t>
      </w:r>
    </w:p>
    <w:p w14:paraId="2827C21A">
      <w:pPr>
        <w:spacing w:line="460" w:lineRule="exact"/>
        <w:ind w:firstLine="442"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4、谈判</w:t>
      </w:r>
    </w:p>
    <w:p w14:paraId="320D21ED">
      <w:pPr>
        <w:spacing w:line="460" w:lineRule="exact"/>
        <w:ind w:firstLine="442"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4.1谈判小组与投标人进行技术、商务谈判。谈判结果以书面形式，经投标人的法定代表人或其委托代理人签字、确认。</w:t>
      </w:r>
    </w:p>
    <w:p w14:paraId="2A366214">
      <w:pPr>
        <w:spacing w:line="460" w:lineRule="exact"/>
        <w:ind w:firstLine="442"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谈判小组可以根据谈判工作的必要性、合理性，安排评审和谈判工作。</w:t>
      </w:r>
    </w:p>
    <w:p w14:paraId="21B94F97">
      <w:pPr>
        <w:spacing w:line="460" w:lineRule="exact"/>
        <w:ind w:firstLine="442"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4.2谈判小组推荐中标人</w:t>
      </w:r>
    </w:p>
    <w:p w14:paraId="79AB6C78">
      <w:pPr>
        <w:spacing w:line="460" w:lineRule="exact"/>
        <w:ind w:firstLine="442"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谈判小组根据技术要求、质量、</w:t>
      </w:r>
      <w:r>
        <w:rPr>
          <w:rFonts w:hint="eastAsia" w:ascii="宋体" w:hAnsi="宋体" w:eastAsia="宋体" w:cs="宋体"/>
          <w:color w:val="auto"/>
          <w:sz w:val="21"/>
          <w:szCs w:val="21"/>
          <w:highlight w:val="none"/>
          <w:lang w:val="en-US" w:eastAsia="zh-CN"/>
        </w:rPr>
        <w:t>服务期</w:t>
      </w:r>
      <w:r>
        <w:rPr>
          <w:rFonts w:hint="eastAsia" w:ascii="宋体" w:hAnsi="宋体" w:eastAsia="宋体" w:cs="宋体"/>
          <w:color w:val="auto"/>
          <w:sz w:val="21"/>
          <w:szCs w:val="21"/>
          <w:highlight w:val="none"/>
        </w:rPr>
        <w:t>等方面完全响应</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的，谈判小组根据谈判情况，可以采用一轮或多轮谈判的形式进行谈判。谈判的结果以达到性价比最优（符合采购需求，技术、性能、质量和售后服务优且报价合理）为原则，由谈判小组根据最终谈判结果，按照有效投标报价由低至高推荐有排序的1名中标</w:t>
      </w:r>
      <w:r>
        <w:rPr>
          <w:rFonts w:hint="eastAsia" w:ascii="宋体" w:hAnsi="宋体" w:eastAsia="宋体" w:cs="宋体"/>
          <w:color w:val="auto"/>
          <w:sz w:val="21"/>
          <w:szCs w:val="21"/>
          <w:highlight w:val="none"/>
          <w:lang w:eastAsia="zh-CN"/>
        </w:rPr>
        <w:t>候选人</w:t>
      </w:r>
      <w:r>
        <w:rPr>
          <w:rFonts w:hint="eastAsia" w:ascii="宋体" w:hAnsi="宋体" w:eastAsia="宋体" w:cs="宋体"/>
          <w:color w:val="auto"/>
          <w:sz w:val="21"/>
          <w:szCs w:val="21"/>
          <w:highlight w:val="none"/>
        </w:rPr>
        <w:t>，招标人根据谈判小组提供的书面评标报告，依法确定中标人。如投标报价均高于招标人的期望值，则招标人有权取消本次招标，并不承担投标人的任何投标费用。</w:t>
      </w:r>
    </w:p>
    <w:p w14:paraId="33433CCA">
      <w:pPr>
        <w:spacing w:line="460" w:lineRule="exact"/>
        <w:ind w:firstLine="442"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如经一轮或多轮谈判后仍不能确定中标人</w:t>
      </w:r>
      <w:r>
        <w:rPr>
          <w:rFonts w:hint="eastAsia" w:ascii="宋体" w:hAnsi="宋体" w:eastAsia="宋体" w:cs="宋体"/>
          <w:color w:val="auto"/>
          <w:sz w:val="21"/>
          <w:szCs w:val="21"/>
          <w:highlight w:val="none"/>
          <w:lang w:val="en-US" w:eastAsia="zh-CN"/>
        </w:rPr>
        <w:t>以及中标价格</w:t>
      </w:r>
      <w:r>
        <w:rPr>
          <w:rFonts w:hint="eastAsia" w:ascii="宋体" w:hAnsi="宋体" w:eastAsia="宋体" w:cs="宋体"/>
          <w:color w:val="auto"/>
          <w:sz w:val="21"/>
          <w:szCs w:val="21"/>
          <w:highlight w:val="none"/>
        </w:rPr>
        <w:t>，则本次谈判作废。</w:t>
      </w:r>
    </w:p>
    <w:p w14:paraId="73D39323">
      <w:pPr>
        <w:spacing w:line="520" w:lineRule="exact"/>
        <w:ind w:firstLine="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别说明：1.当出现损害国家和招标人利益情况时，招标人、谈判小组有选择或拒绝投标人的权力，并对所采取的行为主动说明原因。2.为便于快速报价，二轮或多轮报价直接报总价，其中中标综合单价按原始投标报价同比例下浮计算。结算时按有利于招标人的原则进行修改,中标投标人必须无条件执行。</w:t>
      </w:r>
    </w:p>
    <w:p w14:paraId="46EEB26D">
      <w:pPr>
        <w:spacing w:line="520" w:lineRule="exact"/>
        <w:ind w:firstLine="200"/>
        <w:rPr>
          <w:rFonts w:hint="eastAsia" w:ascii="宋体" w:hAnsi="宋体" w:eastAsia="宋体" w:cs="宋体"/>
          <w:color w:val="auto"/>
          <w:sz w:val="21"/>
          <w:szCs w:val="21"/>
          <w:highlight w:val="none"/>
        </w:rPr>
      </w:pPr>
      <w:r>
        <w:rPr>
          <w:rFonts w:ascii="宋体" w:hAnsi="宋体" w:eastAsia="宋体" w:cs="宋体"/>
          <w:b/>
          <w:color w:val="auto"/>
          <w:sz w:val="21"/>
          <w:szCs w:val="21"/>
          <w:highlight w:val="none"/>
        </w:rPr>
        <w:br w:type="page"/>
      </w:r>
    </w:p>
    <w:p w14:paraId="1CB23639">
      <w:pPr>
        <w:pStyle w:val="4"/>
        <w:numPr>
          <w:ilvl w:val="0"/>
          <w:numId w:val="0"/>
        </w:numPr>
        <w:spacing w:line="520" w:lineRule="exact"/>
        <w:jc w:val="center"/>
        <w:rPr>
          <w:rFonts w:hAnsi="宋体"/>
          <w:b w:val="0"/>
          <w:color w:val="auto"/>
          <w:sz w:val="44"/>
          <w:szCs w:val="44"/>
          <w:highlight w:val="none"/>
        </w:rPr>
      </w:pPr>
      <w:r>
        <w:rPr>
          <w:rFonts w:hint="eastAsia" w:hAnsi="宋体"/>
          <w:b w:val="0"/>
          <w:color w:val="auto"/>
          <w:sz w:val="44"/>
          <w:szCs w:val="44"/>
          <w:highlight w:val="none"/>
          <w:lang w:eastAsia="zh-CN"/>
        </w:rPr>
        <w:t>谈判文件</w:t>
      </w:r>
      <w:r>
        <w:rPr>
          <w:rFonts w:hint="eastAsia" w:hAnsi="宋体"/>
          <w:b w:val="0"/>
          <w:color w:val="auto"/>
          <w:sz w:val="44"/>
          <w:szCs w:val="44"/>
          <w:highlight w:val="none"/>
        </w:rPr>
        <w:t>附件（</w:t>
      </w:r>
      <w:r>
        <w:rPr>
          <w:rFonts w:hint="eastAsia" w:hAnsi="宋体"/>
          <w:b w:val="0"/>
          <w:color w:val="auto"/>
          <w:sz w:val="44"/>
          <w:szCs w:val="44"/>
          <w:highlight w:val="none"/>
          <w:lang w:eastAsia="zh-CN"/>
        </w:rPr>
        <w:t>响应文件</w:t>
      </w:r>
      <w:r>
        <w:rPr>
          <w:rFonts w:hint="eastAsia" w:hAnsi="宋体"/>
          <w:b w:val="0"/>
          <w:color w:val="auto"/>
          <w:sz w:val="44"/>
          <w:szCs w:val="44"/>
          <w:highlight w:val="none"/>
        </w:rPr>
        <w:t>格式）</w:t>
      </w:r>
    </w:p>
    <w:p w14:paraId="12ED3412">
      <w:pPr>
        <w:spacing w:line="520" w:lineRule="exact"/>
        <w:rPr>
          <w:rFonts w:ascii="宋体" w:hAnsi="宋体" w:eastAsia="宋体"/>
          <w:bCs/>
          <w:color w:val="auto"/>
          <w:sz w:val="21"/>
          <w:szCs w:val="21"/>
          <w:highlight w:val="none"/>
        </w:rPr>
      </w:pPr>
    </w:p>
    <w:p w14:paraId="1654C103">
      <w:pPr>
        <w:spacing w:line="520" w:lineRule="exact"/>
        <w:jc w:val="center"/>
        <w:rPr>
          <w:rFonts w:ascii="宋体" w:hAnsi="宋体" w:eastAsia="宋体"/>
          <w:b/>
          <w:bCs/>
          <w:color w:val="auto"/>
          <w:sz w:val="21"/>
          <w:szCs w:val="21"/>
          <w:highlight w:val="none"/>
        </w:rPr>
      </w:pPr>
      <w:r>
        <w:rPr>
          <w:rFonts w:hint="eastAsia" w:ascii="宋体" w:hAnsi="宋体" w:eastAsia="宋体"/>
          <w:b/>
          <w:bCs/>
          <w:color w:val="auto"/>
          <w:sz w:val="28"/>
          <w:szCs w:val="28"/>
          <w:highlight w:val="none"/>
        </w:rPr>
        <w:t>法定代表人身份证明书</w:t>
      </w:r>
    </w:p>
    <w:p w14:paraId="1E608318">
      <w:pPr>
        <w:spacing w:line="520" w:lineRule="exact"/>
        <w:rPr>
          <w:rFonts w:ascii="宋体" w:hAnsi="宋体" w:eastAsia="宋体"/>
          <w:color w:val="auto"/>
          <w:sz w:val="21"/>
          <w:szCs w:val="21"/>
          <w:highlight w:val="none"/>
        </w:rPr>
      </w:pPr>
    </w:p>
    <w:p w14:paraId="6C9B7D67">
      <w:pPr>
        <w:spacing w:line="520" w:lineRule="exact"/>
        <w:ind w:firstLine="442" w:firstLineChars="200"/>
        <w:rPr>
          <w:rFonts w:ascii="宋体" w:hAnsi="宋体" w:eastAsia="宋体"/>
          <w:color w:val="auto"/>
          <w:sz w:val="21"/>
          <w:szCs w:val="21"/>
          <w:highlight w:val="none"/>
          <w:u w:val="single"/>
        </w:rPr>
      </w:pPr>
      <w:r>
        <w:rPr>
          <w:rFonts w:hint="eastAsia" w:ascii="宋体" w:hAnsi="宋体" w:eastAsia="宋体"/>
          <w:color w:val="auto"/>
          <w:sz w:val="21"/>
          <w:szCs w:val="21"/>
          <w:highlight w:val="none"/>
        </w:rPr>
        <w:t>单位名称：</w:t>
      </w:r>
      <w:r>
        <w:rPr>
          <w:rFonts w:hint="eastAsia" w:ascii="宋体" w:hAnsi="宋体" w:eastAsia="宋体"/>
          <w:color w:val="auto"/>
          <w:sz w:val="21"/>
          <w:szCs w:val="21"/>
          <w:highlight w:val="none"/>
          <w:u w:val="single"/>
        </w:rPr>
        <w:t xml:space="preserve">                                     </w:t>
      </w:r>
    </w:p>
    <w:p w14:paraId="32838C24">
      <w:pPr>
        <w:spacing w:line="520" w:lineRule="exact"/>
        <w:ind w:firstLine="442"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单位性质：</w:t>
      </w:r>
      <w:r>
        <w:rPr>
          <w:rFonts w:hint="eastAsia" w:ascii="宋体" w:hAnsi="宋体" w:eastAsia="宋体"/>
          <w:color w:val="auto"/>
          <w:sz w:val="21"/>
          <w:szCs w:val="21"/>
          <w:highlight w:val="none"/>
          <w:u w:val="single"/>
        </w:rPr>
        <w:t xml:space="preserve">                                     </w:t>
      </w:r>
    </w:p>
    <w:p w14:paraId="7A2A6571">
      <w:pPr>
        <w:spacing w:line="520" w:lineRule="exact"/>
        <w:ind w:firstLine="442"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地    址：</w:t>
      </w:r>
      <w:r>
        <w:rPr>
          <w:rFonts w:hint="eastAsia" w:ascii="宋体" w:hAnsi="宋体" w:eastAsia="宋体"/>
          <w:color w:val="auto"/>
          <w:sz w:val="21"/>
          <w:szCs w:val="21"/>
          <w:highlight w:val="none"/>
          <w:u w:val="single"/>
        </w:rPr>
        <w:t xml:space="preserve">                                     </w:t>
      </w:r>
    </w:p>
    <w:p w14:paraId="52A869A9">
      <w:pPr>
        <w:spacing w:line="520" w:lineRule="exact"/>
        <w:ind w:firstLine="442"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成立时间：</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日</w:t>
      </w:r>
    </w:p>
    <w:p w14:paraId="6E17E47D">
      <w:pPr>
        <w:spacing w:line="520" w:lineRule="exact"/>
        <w:ind w:firstLine="442"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经营期限：</w:t>
      </w:r>
      <w:r>
        <w:rPr>
          <w:rFonts w:hint="eastAsia" w:ascii="宋体" w:hAnsi="宋体" w:eastAsia="宋体"/>
          <w:color w:val="auto"/>
          <w:sz w:val="21"/>
          <w:szCs w:val="21"/>
          <w:highlight w:val="none"/>
          <w:u w:val="single"/>
        </w:rPr>
        <w:t xml:space="preserve">                                     </w:t>
      </w:r>
    </w:p>
    <w:p w14:paraId="26463065">
      <w:pPr>
        <w:spacing w:line="520" w:lineRule="exact"/>
        <w:ind w:firstLine="442"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姓名：</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 xml:space="preserve"> 性别：</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 xml:space="preserve"> 年龄：</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 xml:space="preserve"> 职务：</w:t>
      </w:r>
      <w:r>
        <w:rPr>
          <w:rFonts w:hint="eastAsia" w:ascii="宋体" w:hAnsi="宋体" w:eastAsia="宋体"/>
          <w:color w:val="auto"/>
          <w:sz w:val="21"/>
          <w:szCs w:val="21"/>
          <w:highlight w:val="none"/>
          <w:u w:val="single"/>
        </w:rPr>
        <w:t xml:space="preserve">       </w:t>
      </w:r>
    </w:p>
    <w:p w14:paraId="5DEF55CF">
      <w:pPr>
        <w:spacing w:line="520" w:lineRule="exact"/>
        <w:rPr>
          <w:rFonts w:ascii="宋体" w:hAnsi="宋体" w:eastAsia="宋体"/>
          <w:color w:val="auto"/>
          <w:sz w:val="21"/>
          <w:szCs w:val="21"/>
          <w:highlight w:val="none"/>
        </w:rPr>
      </w:pPr>
      <w:r>
        <w:rPr>
          <w:rFonts w:hint="eastAsia" w:ascii="宋体" w:hAnsi="宋体" w:eastAsia="宋体"/>
          <w:color w:val="auto"/>
          <w:sz w:val="21"/>
          <w:szCs w:val="21"/>
          <w:highlight w:val="none"/>
        </w:rPr>
        <w:t>系</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（投标人）的法定代表人。</w:t>
      </w:r>
    </w:p>
    <w:p w14:paraId="0E2AB19F">
      <w:pPr>
        <w:spacing w:line="520" w:lineRule="exact"/>
        <w:ind w:firstLine="442" w:firstLineChars="200"/>
        <w:rPr>
          <w:rFonts w:ascii="宋体" w:hAnsi="宋体" w:eastAsia="宋体"/>
          <w:color w:val="auto"/>
          <w:sz w:val="21"/>
          <w:szCs w:val="21"/>
          <w:highlight w:val="none"/>
        </w:rPr>
      </w:pPr>
    </w:p>
    <w:p w14:paraId="3DAF44A5">
      <w:pPr>
        <w:spacing w:line="520" w:lineRule="exact"/>
        <w:ind w:firstLine="442" w:firstLineChars="200"/>
        <w:rPr>
          <w:rFonts w:ascii="宋体" w:hAnsi="宋体" w:eastAsia="宋体"/>
          <w:color w:val="auto"/>
          <w:sz w:val="21"/>
          <w:szCs w:val="21"/>
          <w:highlight w:val="none"/>
        </w:rPr>
      </w:pPr>
    </w:p>
    <w:p w14:paraId="1FEAB944">
      <w:pPr>
        <w:spacing w:line="520" w:lineRule="exact"/>
        <w:ind w:firstLine="442" w:firstLineChars="200"/>
        <w:rPr>
          <w:rFonts w:ascii="宋体" w:hAnsi="宋体" w:eastAsia="宋体"/>
          <w:color w:val="auto"/>
          <w:sz w:val="21"/>
          <w:szCs w:val="21"/>
          <w:highlight w:val="none"/>
        </w:rPr>
      </w:pPr>
    </w:p>
    <w:p w14:paraId="1AAD7F64">
      <w:pPr>
        <w:spacing w:line="520" w:lineRule="exact"/>
        <w:ind w:firstLine="442"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特此证明。</w:t>
      </w:r>
    </w:p>
    <w:p w14:paraId="37766DE5">
      <w:pPr>
        <w:spacing w:line="520" w:lineRule="exact"/>
        <w:ind w:firstLine="442" w:firstLineChars="200"/>
        <w:rPr>
          <w:rFonts w:ascii="宋体" w:hAnsi="宋体" w:eastAsia="宋体"/>
          <w:color w:val="auto"/>
          <w:sz w:val="21"/>
          <w:szCs w:val="21"/>
          <w:highlight w:val="none"/>
        </w:rPr>
      </w:pPr>
    </w:p>
    <w:p w14:paraId="4B48462E">
      <w:pPr>
        <w:spacing w:line="520" w:lineRule="exact"/>
        <w:ind w:firstLine="442" w:firstLineChars="200"/>
        <w:rPr>
          <w:rFonts w:ascii="宋体" w:hAnsi="宋体" w:eastAsia="宋体"/>
          <w:color w:val="auto"/>
          <w:sz w:val="21"/>
          <w:szCs w:val="21"/>
          <w:highlight w:val="none"/>
        </w:rPr>
      </w:pPr>
    </w:p>
    <w:p w14:paraId="0A727D62">
      <w:pPr>
        <w:spacing w:line="520" w:lineRule="exact"/>
        <w:ind w:firstLine="442" w:firstLineChars="200"/>
        <w:rPr>
          <w:rFonts w:ascii="宋体" w:hAnsi="宋体" w:eastAsia="宋体"/>
          <w:color w:val="auto"/>
          <w:sz w:val="21"/>
          <w:szCs w:val="21"/>
          <w:highlight w:val="none"/>
        </w:rPr>
      </w:pPr>
    </w:p>
    <w:p w14:paraId="5E0F980A">
      <w:pPr>
        <w:spacing w:line="520" w:lineRule="exact"/>
        <w:ind w:firstLine="442" w:firstLineChars="200"/>
        <w:rPr>
          <w:rFonts w:ascii="宋体" w:hAnsi="宋体" w:eastAsia="宋体"/>
          <w:color w:val="auto"/>
          <w:sz w:val="21"/>
          <w:szCs w:val="21"/>
          <w:highlight w:val="none"/>
        </w:rPr>
      </w:pPr>
    </w:p>
    <w:p w14:paraId="735624AD">
      <w:pPr>
        <w:spacing w:line="520" w:lineRule="exact"/>
        <w:ind w:firstLine="442" w:firstLineChars="200"/>
        <w:rPr>
          <w:rFonts w:ascii="宋体" w:hAnsi="宋体" w:eastAsia="宋体"/>
          <w:color w:val="auto"/>
          <w:sz w:val="21"/>
          <w:szCs w:val="21"/>
          <w:highlight w:val="none"/>
        </w:rPr>
      </w:pPr>
    </w:p>
    <w:p w14:paraId="6CE0F58B">
      <w:pPr>
        <w:spacing w:line="520" w:lineRule="exact"/>
        <w:ind w:firstLine="442" w:firstLineChars="200"/>
        <w:rPr>
          <w:rFonts w:ascii="宋体" w:hAnsi="宋体" w:eastAsia="宋体"/>
          <w:color w:val="auto"/>
          <w:sz w:val="21"/>
          <w:szCs w:val="21"/>
          <w:highlight w:val="none"/>
        </w:rPr>
      </w:pPr>
    </w:p>
    <w:p w14:paraId="1B289CC7">
      <w:pPr>
        <w:spacing w:line="520" w:lineRule="exact"/>
        <w:ind w:firstLine="442" w:firstLineChars="200"/>
        <w:rPr>
          <w:rFonts w:ascii="宋体" w:hAnsi="宋体" w:eastAsia="宋体"/>
          <w:color w:val="auto"/>
          <w:sz w:val="21"/>
          <w:szCs w:val="21"/>
          <w:highlight w:val="none"/>
        </w:rPr>
      </w:pPr>
    </w:p>
    <w:p w14:paraId="2D831CD3">
      <w:pPr>
        <w:spacing w:line="520" w:lineRule="exact"/>
        <w:ind w:firstLine="3536" w:firstLineChars="1600"/>
        <w:rPr>
          <w:rFonts w:ascii="宋体" w:hAnsi="宋体" w:eastAsia="宋体"/>
          <w:color w:val="auto"/>
          <w:sz w:val="21"/>
          <w:szCs w:val="21"/>
          <w:highlight w:val="none"/>
        </w:rPr>
      </w:pPr>
      <w:r>
        <w:rPr>
          <w:rFonts w:hint="eastAsia" w:ascii="宋体" w:hAnsi="宋体" w:eastAsia="宋体"/>
          <w:color w:val="auto"/>
          <w:sz w:val="21"/>
          <w:szCs w:val="21"/>
          <w:highlight w:val="none"/>
        </w:rPr>
        <w:t>投标人（盖章）：</w:t>
      </w:r>
    </w:p>
    <w:p w14:paraId="770CE5CF">
      <w:pPr>
        <w:spacing w:line="520" w:lineRule="exact"/>
        <w:ind w:firstLine="3536" w:firstLineChars="1600"/>
        <w:rPr>
          <w:rFonts w:ascii="宋体" w:hAnsi="宋体" w:eastAsia="宋体"/>
          <w:color w:val="auto"/>
          <w:sz w:val="21"/>
          <w:szCs w:val="21"/>
          <w:highlight w:val="none"/>
        </w:rPr>
      </w:pPr>
      <w:r>
        <w:rPr>
          <w:rFonts w:hint="eastAsia" w:ascii="宋体" w:hAnsi="宋体" w:eastAsia="宋体"/>
          <w:color w:val="auto"/>
          <w:sz w:val="21"/>
          <w:szCs w:val="21"/>
          <w:highlight w:val="none"/>
        </w:rPr>
        <w:t>日期：    年   月   日</w:t>
      </w:r>
    </w:p>
    <w:p w14:paraId="0E392CD8">
      <w:pPr>
        <w:spacing w:line="520" w:lineRule="exact"/>
        <w:jc w:val="center"/>
        <w:rPr>
          <w:rFonts w:ascii="宋体" w:hAnsi="宋体" w:eastAsia="宋体"/>
          <w:b/>
          <w:bCs/>
          <w:color w:val="auto"/>
          <w:sz w:val="21"/>
          <w:szCs w:val="21"/>
          <w:highlight w:val="none"/>
        </w:rPr>
      </w:pPr>
    </w:p>
    <w:p w14:paraId="3F3AAB1E">
      <w:pPr>
        <w:spacing w:line="520" w:lineRule="exact"/>
        <w:rPr>
          <w:rFonts w:hint="eastAsia" w:ascii="宋体" w:hAnsi="宋体" w:eastAsia="宋体"/>
          <w:b/>
          <w:bCs/>
          <w:color w:val="auto"/>
          <w:sz w:val="28"/>
          <w:szCs w:val="28"/>
          <w:highlight w:val="none"/>
        </w:rPr>
      </w:pPr>
      <w:r>
        <w:rPr>
          <w:rFonts w:hint="eastAsia" w:ascii="宋体" w:hAnsi="宋体" w:eastAsia="宋体"/>
          <w:b/>
          <w:bCs/>
          <w:color w:val="auto"/>
          <w:sz w:val="21"/>
          <w:szCs w:val="21"/>
          <w:highlight w:val="none"/>
        </w:rPr>
        <w:br w:type="textWrapping"/>
      </w:r>
    </w:p>
    <w:p w14:paraId="07F4F45D">
      <w:pPr>
        <w:spacing w:line="520" w:lineRule="exact"/>
        <w:jc w:val="center"/>
        <w:rPr>
          <w:rFonts w:ascii="宋体" w:hAnsi="宋体" w:eastAsia="宋体"/>
          <w:b/>
          <w:bCs/>
          <w:color w:val="auto"/>
          <w:sz w:val="21"/>
          <w:szCs w:val="21"/>
          <w:highlight w:val="none"/>
        </w:rPr>
      </w:pPr>
      <w:r>
        <w:rPr>
          <w:rFonts w:hint="eastAsia" w:ascii="宋体" w:hAnsi="宋体" w:eastAsia="宋体"/>
          <w:b/>
          <w:bCs/>
          <w:color w:val="auto"/>
          <w:sz w:val="28"/>
          <w:szCs w:val="28"/>
          <w:highlight w:val="none"/>
        </w:rPr>
        <w:t>授权委托书</w:t>
      </w:r>
    </w:p>
    <w:p w14:paraId="7A3D2496">
      <w:pPr>
        <w:spacing w:line="520" w:lineRule="exact"/>
        <w:rPr>
          <w:rFonts w:ascii="宋体" w:hAnsi="宋体" w:eastAsia="宋体"/>
          <w:color w:val="auto"/>
          <w:sz w:val="21"/>
          <w:szCs w:val="21"/>
          <w:highlight w:val="none"/>
        </w:rPr>
      </w:pPr>
    </w:p>
    <w:p w14:paraId="6EB8331E">
      <w:pPr>
        <w:spacing w:line="520" w:lineRule="exact"/>
        <w:rPr>
          <w:rFonts w:ascii="宋体" w:hAnsi="宋体" w:eastAsia="宋体"/>
          <w:color w:val="auto"/>
          <w:sz w:val="21"/>
          <w:szCs w:val="21"/>
          <w:highlight w:val="none"/>
        </w:rPr>
      </w:pPr>
    </w:p>
    <w:p w14:paraId="6F9F9437">
      <w:pPr>
        <w:spacing w:line="520" w:lineRule="exact"/>
        <w:ind w:firstLine="442" w:firstLineChars="200"/>
        <w:rPr>
          <w:rFonts w:ascii="宋体" w:hAnsi="宋体" w:eastAsia="宋体"/>
          <w:color w:val="auto"/>
          <w:sz w:val="21"/>
          <w:szCs w:val="21"/>
          <w:highlight w:val="none"/>
          <w:u w:val="single"/>
        </w:rPr>
      </w:pPr>
      <w:r>
        <w:rPr>
          <w:rFonts w:hint="eastAsia" w:ascii="宋体" w:hAnsi="宋体" w:eastAsia="宋体"/>
          <w:color w:val="auto"/>
          <w:sz w:val="21"/>
          <w:szCs w:val="21"/>
          <w:highlight w:val="none"/>
        </w:rPr>
        <w:t>本授权委托书声明：我</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（姓名）系</w:t>
      </w:r>
      <w:r>
        <w:rPr>
          <w:rFonts w:hint="eastAsia" w:ascii="宋体" w:hAnsi="宋体" w:eastAsia="宋体"/>
          <w:color w:val="auto"/>
          <w:sz w:val="21"/>
          <w:szCs w:val="21"/>
          <w:highlight w:val="none"/>
          <w:u w:val="single"/>
        </w:rPr>
        <w:t xml:space="preserve">                </w:t>
      </w:r>
    </w:p>
    <w:p w14:paraId="422970E7">
      <w:pPr>
        <w:spacing w:line="520" w:lineRule="exact"/>
        <w:rPr>
          <w:rFonts w:ascii="宋体" w:hAnsi="宋体" w:eastAsia="宋体"/>
          <w:color w:val="auto"/>
          <w:sz w:val="21"/>
          <w:szCs w:val="21"/>
          <w:highlight w:val="none"/>
          <w:u w:val="single"/>
        </w:rPr>
      </w:pP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（投标人名称）的法定代表人，现授权委托</w:t>
      </w:r>
      <w:r>
        <w:rPr>
          <w:rFonts w:hint="eastAsia" w:ascii="宋体" w:hAnsi="宋体" w:eastAsia="宋体"/>
          <w:color w:val="auto"/>
          <w:sz w:val="21"/>
          <w:szCs w:val="21"/>
          <w:highlight w:val="none"/>
          <w:u w:val="single"/>
        </w:rPr>
        <w:t xml:space="preserve">               </w:t>
      </w:r>
    </w:p>
    <w:p w14:paraId="35A25A97">
      <w:pPr>
        <w:spacing w:line="520" w:lineRule="exact"/>
        <w:rPr>
          <w:rFonts w:ascii="宋体" w:hAnsi="宋体" w:eastAsia="宋体"/>
          <w:color w:val="auto"/>
          <w:sz w:val="21"/>
          <w:szCs w:val="21"/>
          <w:highlight w:val="none"/>
        </w:rPr>
      </w:pP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（单位名称）的</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（姓名）为我公司的代理人，以本公司的名义参加</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lang w:val="en-US" w:eastAsia="zh-CN"/>
        </w:rPr>
        <w:t>项目</w:t>
      </w:r>
      <w:r>
        <w:rPr>
          <w:rFonts w:hint="eastAsia" w:ascii="宋体" w:hAnsi="宋体" w:eastAsia="宋体"/>
          <w:color w:val="auto"/>
          <w:sz w:val="21"/>
          <w:szCs w:val="21"/>
          <w:highlight w:val="none"/>
        </w:rPr>
        <w:t>的投标活动。代理人在开标、评标、合同谈判过程中所签署的一切文件和处理与之有关的一切事务，我均予以承认。</w:t>
      </w:r>
    </w:p>
    <w:p w14:paraId="2ED52CA7">
      <w:pPr>
        <w:pStyle w:val="10"/>
        <w:spacing w:line="520" w:lineRule="exact"/>
        <w:rPr>
          <w:rFonts w:ascii="宋体" w:hAnsi="宋体" w:eastAsia="宋体"/>
          <w:color w:val="auto"/>
          <w:sz w:val="21"/>
          <w:szCs w:val="21"/>
          <w:highlight w:val="none"/>
        </w:rPr>
      </w:pPr>
    </w:p>
    <w:p w14:paraId="31023B1E">
      <w:pPr>
        <w:pStyle w:val="10"/>
        <w:spacing w:line="520" w:lineRule="exact"/>
        <w:ind w:firstLine="442"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代理人：             性别：           年龄：</w:t>
      </w:r>
    </w:p>
    <w:p w14:paraId="5F66C79D">
      <w:pPr>
        <w:pStyle w:val="10"/>
        <w:spacing w:line="520" w:lineRule="exact"/>
        <w:ind w:firstLine="442"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单  位：             部门：           职务：</w:t>
      </w:r>
    </w:p>
    <w:p w14:paraId="343925B0">
      <w:pPr>
        <w:pStyle w:val="10"/>
        <w:spacing w:line="520" w:lineRule="exact"/>
        <w:ind w:firstLine="442"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联系电话：</w:t>
      </w:r>
    </w:p>
    <w:p w14:paraId="5EAA137E">
      <w:pPr>
        <w:pStyle w:val="10"/>
        <w:spacing w:line="520" w:lineRule="exact"/>
        <w:ind w:firstLine="442"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代理人无转委托权。特此委托。</w:t>
      </w:r>
    </w:p>
    <w:p w14:paraId="0F6DFB5A">
      <w:pPr>
        <w:pStyle w:val="10"/>
        <w:spacing w:line="520" w:lineRule="exact"/>
        <w:ind w:firstLine="442" w:firstLineChars="200"/>
        <w:rPr>
          <w:rFonts w:ascii="宋体" w:hAnsi="宋体" w:eastAsia="宋体"/>
          <w:color w:val="auto"/>
          <w:sz w:val="21"/>
          <w:szCs w:val="21"/>
          <w:highlight w:val="none"/>
        </w:rPr>
      </w:pPr>
    </w:p>
    <w:tbl>
      <w:tblPr>
        <w:tblStyle w:val="24"/>
        <w:tblpPr w:leftFromText="180" w:rightFromText="180" w:vertAnchor="text" w:horzAnchor="page" w:tblpX="1897" w:tblpY="151"/>
        <w:tblW w:w="0" w:type="auto"/>
        <w:tblInd w:w="0" w:type="dxa"/>
        <w:tblBorders>
          <w:top w:val="dotted" w:color="auto" w:sz="4" w:space="0"/>
          <w:left w:val="dotted" w:color="auto" w:sz="4" w:space="0"/>
          <w:bottom w:val="dotted" w:color="auto" w:sz="4" w:space="0"/>
          <w:right w:val="dotted" w:color="auto" w:sz="4" w:space="0"/>
          <w:insideH w:val="none" w:color="auto" w:sz="0" w:space="0"/>
          <w:insideV w:val="none" w:color="auto" w:sz="0" w:space="0"/>
        </w:tblBorders>
        <w:tblLayout w:type="fixed"/>
        <w:tblCellMar>
          <w:top w:w="0" w:type="dxa"/>
          <w:left w:w="108" w:type="dxa"/>
          <w:bottom w:w="0" w:type="dxa"/>
          <w:right w:w="108" w:type="dxa"/>
        </w:tblCellMar>
      </w:tblPr>
      <w:tblGrid>
        <w:gridCol w:w="4848"/>
      </w:tblGrid>
      <w:tr w14:paraId="4713445F">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5168" w:hRule="atLeast"/>
        </w:trPr>
        <w:tc>
          <w:tcPr>
            <w:tcW w:w="4848" w:type="dxa"/>
            <w:noWrap w:val="0"/>
            <w:vAlign w:val="center"/>
          </w:tcPr>
          <w:p w14:paraId="06FA7F0C">
            <w:pPr>
              <w:pStyle w:val="10"/>
              <w:spacing w:line="520" w:lineRule="exact"/>
              <w:jc w:val="left"/>
              <w:rPr>
                <w:rFonts w:ascii="宋体" w:hAnsi="宋体" w:eastAsia="宋体"/>
                <w:color w:val="auto"/>
                <w:sz w:val="21"/>
                <w:szCs w:val="21"/>
                <w:highlight w:val="none"/>
              </w:rPr>
            </w:pPr>
            <w:r>
              <w:rPr>
                <w:rFonts w:hint="eastAsia" w:ascii="宋体" w:hAnsi="宋体" w:eastAsia="宋体"/>
                <w:color w:val="auto"/>
                <w:sz w:val="21"/>
                <w:szCs w:val="21"/>
                <w:highlight w:val="none"/>
              </w:rPr>
              <w:t>注：</w:t>
            </w:r>
          </w:p>
          <w:p w14:paraId="451C0C4A">
            <w:pPr>
              <w:pStyle w:val="10"/>
              <w:spacing w:line="520" w:lineRule="exact"/>
              <w:jc w:val="left"/>
              <w:rPr>
                <w:rFonts w:ascii="宋体" w:hAnsi="宋体" w:eastAsia="宋体"/>
                <w:color w:val="auto"/>
                <w:sz w:val="21"/>
                <w:szCs w:val="21"/>
                <w:highlight w:val="none"/>
              </w:rPr>
            </w:pPr>
            <w:r>
              <w:rPr>
                <w:rFonts w:hint="eastAsia" w:ascii="宋体" w:hAnsi="宋体" w:eastAsia="宋体"/>
                <w:color w:val="auto"/>
                <w:sz w:val="21"/>
                <w:szCs w:val="21"/>
                <w:highlight w:val="none"/>
              </w:rPr>
              <w:t>法定代表人、授权委托人须将本人身份证复印件贴于此。</w:t>
            </w:r>
          </w:p>
        </w:tc>
      </w:tr>
    </w:tbl>
    <w:p w14:paraId="1C55AFFC">
      <w:pPr>
        <w:pStyle w:val="10"/>
        <w:spacing w:line="520" w:lineRule="exact"/>
        <w:ind w:firstLine="884" w:firstLineChars="400"/>
        <w:jc w:val="left"/>
        <w:rPr>
          <w:rFonts w:ascii="宋体" w:hAnsi="宋体" w:eastAsia="宋体"/>
          <w:color w:val="auto"/>
          <w:sz w:val="21"/>
          <w:szCs w:val="21"/>
          <w:highlight w:val="none"/>
        </w:rPr>
      </w:pPr>
    </w:p>
    <w:p w14:paraId="011B5C96">
      <w:pPr>
        <w:pStyle w:val="10"/>
        <w:spacing w:line="520" w:lineRule="exact"/>
        <w:jc w:val="left"/>
        <w:rPr>
          <w:rFonts w:ascii="宋体" w:hAnsi="宋体" w:eastAsia="宋体"/>
          <w:color w:val="auto"/>
          <w:sz w:val="21"/>
          <w:szCs w:val="21"/>
          <w:highlight w:val="none"/>
        </w:rPr>
      </w:pPr>
    </w:p>
    <w:p w14:paraId="055A7EB8">
      <w:pPr>
        <w:pStyle w:val="10"/>
        <w:spacing w:line="520" w:lineRule="exact"/>
        <w:jc w:val="left"/>
        <w:rPr>
          <w:rFonts w:ascii="宋体" w:hAnsi="宋体" w:eastAsia="宋体"/>
          <w:color w:val="auto"/>
          <w:sz w:val="21"/>
          <w:szCs w:val="21"/>
          <w:highlight w:val="none"/>
        </w:rPr>
      </w:pPr>
    </w:p>
    <w:p w14:paraId="3EBAD37B">
      <w:pPr>
        <w:pStyle w:val="10"/>
        <w:spacing w:line="520" w:lineRule="exact"/>
        <w:jc w:val="left"/>
        <w:rPr>
          <w:rFonts w:ascii="宋体" w:hAnsi="宋体" w:eastAsia="宋体"/>
          <w:color w:val="auto"/>
          <w:sz w:val="21"/>
          <w:szCs w:val="21"/>
          <w:highlight w:val="none"/>
        </w:rPr>
      </w:pPr>
      <w:r>
        <w:rPr>
          <w:rFonts w:hint="eastAsia" w:ascii="宋体" w:hAnsi="宋体" w:eastAsia="宋体"/>
          <w:color w:val="auto"/>
          <w:sz w:val="21"/>
          <w:szCs w:val="21"/>
          <w:highlight w:val="none"/>
        </w:rPr>
        <w:t>投标人（盖章）:</w:t>
      </w:r>
    </w:p>
    <w:p w14:paraId="4FB6159E">
      <w:pPr>
        <w:pStyle w:val="10"/>
        <w:spacing w:line="520" w:lineRule="exact"/>
        <w:ind w:firstLine="884" w:firstLineChars="400"/>
        <w:rPr>
          <w:rFonts w:ascii="宋体" w:hAnsi="宋体" w:eastAsia="宋体"/>
          <w:color w:val="auto"/>
          <w:sz w:val="21"/>
          <w:szCs w:val="21"/>
          <w:highlight w:val="none"/>
        </w:rPr>
      </w:pPr>
    </w:p>
    <w:p w14:paraId="339E865B">
      <w:pPr>
        <w:pStyle w:val="10"/>
        <w:spacing w:line="520" w:lineRule="exact"/>
        <w:rPr>
          <w:rFonts w:ascii="宋体" w:hAnsi="宋体" w:eastAsia="宋体"/>
          <w:color w:val="auto"/>
          <w:sz w:val="21"/>
          <w:szCs w:val="21"/>
          <w:highlight w:val="none"/>
        </w:rPr>
      </w:pPr>
      <w:r>
        <w:rPr>
          <w:rFonts w:hint="eastAsia" w:ascii="宋体" w:hAnsi="宋体" w:eastAsia="宋体"/>
          <w:color w:val="auto"/>
          <w:sz w:val="21"/>
          <w:szCs w:val="21"/>
          <w:highlight w:val="none"/>
        </w:rPr>
        <w:t>法定代表人（签字或盖章）:</w:t>
      </w:r>
    </w:p>
    <w:p w14:paraId="7BF07F10">
      <w:pPr>
        <w:pStyle w:val="10"/>
        <w:spacing w:line="520" w:lineRule="exact"/>
        <w:ind w:firstLine="884" w:firstLineChars="400"/>
        <w:rPr>
          <w:rFonts w:ascii="宋体" w:hAnsi="宋体" w:eastAsia="宋体"/>
          <w:color w:val="auto"/>
          <w:sz w:val="21"/>
          <w:szCs w:val="21"/>
          <w:highlight w:val="none"/>
        </w:rPr>
      </w:pPr>
    </w:p>
    <w:p w14:paraId="63A6698E">
      <w:pPr>
        <w:pStyle w:val="10"/>
        <w:spacing w:line="520" w:lineRule="exact"/>
        <w:rPr>
          <w:rFonts w:ascii="宋体" w:hAnsi="宋体" w:eastAsia="宋体"/>
          <w:color w:val="auto"/>
          <w:sz w:val="21"/>
          <w:szCs w:val="21"/>
          <w:highlight w:val="none"/>
        </w:rPr>
      </w:pPr>
      <w:r>
        <w:rPr>
          <w:rFonts w:hint="eastAsia" w:ascii="宋体" w:hAnsi="宋体" w:eastAsia="宋体"/>
          <w:color w:val="auto"/>
          <w:sz w:val="21"/>
          <w:szCs w:val="21"/>
          <w:highlight w:val="none"/>
        </w:rPr>
        <w:t>日期：      年   月   日</w:t>
      </w:r>
    </w:p>
    <w:p w14:paraId="10AE35DE">
      <w:pPr>
        <w:spacing w:line="520" w:lineRule="exact"/>
        <w:jc w:val="center"/>
        <w:rPr>
          <w:rFonts w:ascii="宋体" w:hAnsi="宋体" w:eastAsia="宋体"/>
          <w:b/>
          <w:bCs/>
          <w:color w:val="auto"/>
          <w:sz w:val="21"/>
          <w:szCs w:val="21"/>
          <w:highlight w:val="none"/>
        </w:rPr>
      </w:pPr>
    </w:p>
    <w:p w14:paraId="04C07E33">
      <w:pPr>
        <w:pStyle w:val="79"/>
        <w:jc w:val="center"/>
        <w:rPr>
          <w:rFonts w:hint="eastAsia" w:ascii="黑体" w:hAnsi="黑体" w:eastAsia="黑体"/>
          <w:b/>
          <w:color w:val="auto"/>
          <w:sz w:val="21"/>
          <w:szCs w:val="21"/>
          <w:highlight w:val="none"/>
          <w:lang w:val="en-US" w:eastAsia="zh-CN"/>
        </w:rPr>
      </w:pPr>
      <w:r>
        <w:rPr>
          <w:rFonts w:ascii="宋体" w:hAnsi="宋体" w:eastAsia="宋体" w:cs="宋体"/>
          <w:b/>
          <w:color w:val="auto"/>
          <w:sz w:val="21"/>
          <w:szCs w:val="21"/>
          <w:highlight w:val="none"/>
        </w:rPr>
        <w:br w:type="page"/>
      </w:r>
      <w:r>
        <w:rPr>
          <w:rFonts w:hint="eastAsia" w:ascii="黑体" w:hAnsi="黑体" w:eastAsia="黑体"/>
          <w:b/>
          <w:color w:val="auto"/>
          <w:sz w:val="28"/>
          <w:szCs w:val="28"/>
          <w:highlight w:val="none"/>
          <w:lang w:val="en-US" w:eastAsia="zh-CN"/>
        </w:rPr>
        <w:t>投 标 承 诺 书</w:t>
      </w:r>
    </w:p>
    <w:p w14:paraId="3A886573">
      <w:pPr>
        <w:snapToGrid w:val="0"/>
        <w:spacing w:line="520" w:lineRule="exact"/>
        <w:ind w:firstLine="2015" w:firstLineChars="912"/>
        <w:rPr>
          <w:rFonts w:ascii="宋体" w:hAnsi="宋体" w:eastAsia="宋体"/>
          <w:b/>
          <w:color w:val="auto"/>
          <w:sz w:val="21"/>
          <w:szCs w:val="21"/>
          <w:highlight w:val="none"/>
        </w:rPr>
      </w:pPr>
    </w:p>
    <w:p w14:paraId="14240EFA">
      <w:pPr>
        <w:spacing w:line="52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38D9D3F">
      <w:pPr>
        <w:spacing w:line="520" w:lineRule="exact"/>
        <w:ind w:firstLine="558" w:firstLineChars="253"/>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1、根据已收到的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，遵照《中华人民共和国招标投标法》等有关规定，我单位经踏勘项目现场和研究贵方</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的所有内容后，决定无保留地接受</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所有条款，愿以人民币（大写）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元</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）的总价承包本招标范围内的全部</w:t>
      </w:r>
      <w:r>
        <w:rPr>
          <w:rFonts w:hint="eastAsia" w:ascii="宋体" w:hAnsi="宋体" w:eastAsia="宋体" w:cs="宋体"/>
          <w:color w:val="auto"/>
          <w:sz w:val="21"/>
          <w:szCs w:val="21"/>
          <w:highlight w:val="none"/>
          <w:lang w:val="en-US" w:eastAsia="zh-CN"/>
        </w:rPr>
        <w:t>工作内容</w:t>
      </w:r>
      <w:r>
        <w:rPr>
          <w:rFonts w:hint="eastAsia" w:ascii="宋体" w:hAnsi="宋体" w:eastAsia="宋体" w:cs="宋体"/>
          <w:color w:val="auto"/>
          <w:sz w:val="21"/>
          <w:szCs w:val="21"/>
          <w:highlight w:val="none"/>
        </w:rPr>
        <w:t>，并承担任何质量缺陷保修责任。</w:t>
      </w:r>
    </w:p>
    <w:p w14:paraId="354323D0">
      <w:pPr>
        <w:snapToGrid w:val="0"/>
        <w:spacing w:line="52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2、一旦我方中标，我方承诺在</w:t>
      </w:r>
      <w:r>
        <w:rPr>
          <w:rFonts w:hint="eastAsia" w:ascii="宋体" w:hAnsi="宋体" w:eastAsia="宋体" w:cs="宋体"/>
          <w:color w:val="auto"/>
          <w:sz w:val="21"/>
          <w:szCs w:val="21"/>
          <w:highlight w:val="none"/>
          <w:u w:val="none"/>
          <w:lang w:val="en-US" w:eastAsia="zh-CN"/>
        </w:rPr>
        <w:t>服务期内</w:t>
      </w:r>
      <w:r>
        <w:rPr>
          <w:rFonts w:hint="eastAsia" w:ascii="宋体" w:hAnsi="宋体" w:eastAsia="宋体" w:cs="宋体"/>
          <w:color w:val="auto"/>
          <w:sz w:val="21"/>
          <w:szCs w:val="21"/>
          <w:highlight w:val="none"/>
        </w:rPr>
        <w:t>完成全部工作内容。</w:t>
      </w:r>
    </w:p>
    <w:p w14:paraId="01798A9A">
      <w:pPr>
        <w:spacing w:line="52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 xml:space="preserve">质量确保达到合格标准。 </w:t>
      </w:r>
    </w:p>
    <w:p w14:paraId="5DD1E98D">
      <w:pPr>
        <w:pStyle w:val="22"/>
        <w:rPr>
          <w:rFonts w:hint="default" w:eastAsia="宋体"/>
          <w:color w:val="auto"/>
          <w:sz w:val="21"/>
          <w:szCs w:val="21"/>
          <w:highlight w:val="none"/>
          <w:u w:val="none"/>
          <w:lang w:val="en-US" w:eastAsia="zh-CN"/>
        </w:rPr>
      </w:pPr>
      <w:r>
        <w:rPr>
          <w:rFonts w:hint="eastAsia" w:ascii="宋体" w:hAnsi="宋体" w:eastAsia="宋体" w:cs="宋体"/>
          <w:color w:val="auto"/>
          <w:sz w:val="21"/>
          <w:szCs w:val="21"/>
          <w:highlight w:val="none"/>
          <w:lang w:val="en-US" w:eastAsia="zh-CN"/>
        </w:rPr>
        <w:t xml:space="preserve">   4、本次投标，我方将派出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（项目负责人姓名）作为本项目的负责人。</w:t>
      </w:r>
    </w:p>
    <w:p w14:paraId="553CFF67">
      <w:pPr>
        <w:snapToGrid w:val="0"/>
        <w:spacing w:line="52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、我方保证：严格遵守《盐城市市场廉政准入规定（试行）》的各项规定。我方</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提供的用于评审的所有资料真实、有效，如有不实，我方无条件接受</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rPr>
        <w:t>人和主管部门依据法律法规作出的处理决定，并承担由此产生的责任。</w:t>
      </w:r>
    </w:p>
    <w:p w14:paraId="3CA46644">
      <w:pPr>
        <w:snapToGrid w:val="0"/>
        <w:spacing w:line="52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、我方同意所提交的</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在“投标须知”中规定的投标有效期内有效，在此期间如果中标，我方将受此约束。严格遵守国家法律、法规及江苏省、盐城市现行招投标管理的规定</w:t>
      </w:r>
      <w:r>
        <w:rPr>
          <w:rFonts w:hint="eastAsia" w:ascii="宋体" w:hAnsi="宋体" w:eastAsia="宋体" w:cs="宋体"/>
          <w:color w:val="auto"/>
          <w:sz w:val="21"/>
          <w:szCs w:val="21"/>
          <w:highlight w:val="none"/>
          <w:lang w:eastAsia="zh-CN"/>
        </w:rPr>
        <w:t>，如有违反，贵方有权取消我方的投标资格，同时我方愿意接受相关部门的处理。</w:t>
      </w:r>
    </w:p>
    <w:p w14:paraId="7E697951">
      <w:pPr>
        <w:snapToGrid w:val="0"/>
        <w:spacing w:line="520" w:lineRule="exact"/>
        <w:ind w:firstLine="663" w:firstLineChars="3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、你方的中标通知书和本</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将成为约束双方的合同文件的组成部分。</w:t>
      </w:r>
    </w:p>
    <w:p w14:paraId="747F4854">
      <w:pPr>
        <w:snapToGrid w:val="0"/>
        <w:spacing w:line="520" w:lineRule="exact"/>
        <w:ind w:firstLine="605" w:firstLineChars="274"/>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  标  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（盖章）</w:t>
      </w:r>
    </w:p>
    <w:p w14:paraId="62A3D26A">
      <w:pPr>
        <w:spacing w:line="520" w:lineRule="exact"/>
        <w:ind w:firstLine="552" w:firstLineChars="25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w:t>
      </w:r>
      <w:r>
        <w:rPr>
          <w:rFonts w:hint="eastAsia" w:ascii="宋体" w:hAnsi="宋体" w:eastAsia="宋体" w:cs="宋体"/>
          <w:color w:val="auto"/>
          <w:sz w:val="21"/>
          <w:szCs w:val="21"/>
          <w:highlight w:val="none"/>
          <w:u w:val="single"/>
        </w:rPr>
        <w:t xml:space="preserve">                                                      </w:t>
      </w:r>
    </w:p>
    <w:p w14:paraId="5C83757F">
      <w:pPr>
        <w:snapToGrid w:val="0"/>
        <w:spacing w:line="520" w:lineRule="exact"/>
        <w:ind w:firstLine="605" w:firstLineChars="274"/>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法定代表人或其委托代理人（签字或盖章）：</w:t>
      </w:r>
      <w:r>
        <w:rPr>
          <w:rFonts w:hint="eastAsia" w:ascii="宋体" w:hAnsi="宋体" w:eastAsia="宋体" w:cs="宋体"/>
          <w:color w:val="auto"/>
          <w:sz w:val="21"/>
          <w:szCs w:val="21"/>
          <w:highlight w:val="none"/>
          <w:u w:val="single"/>
        </w:rPr>
        <w:t xml:space="preserve">                       </w:t>
      </w:r>
    </w:p>
    <w:p w14:paraId="1DC3281A">
      <w:pPr>
        <w:spacing w:line="520" w:lineRule="exact"/>
        <w:ind w:firstLine="552" w:firstLineChars="25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电话：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06FA42B0">
      <w:pPr>
        <w:snapToGrid w:val="0"/>
        <w:spacing w:line="520" w:lineRule="exact"/>
        <w:ind w:firstLine="605" w:firstLineChars="274"/>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开户银行名称：</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p>
    <w:p w14:paraId="430B312F">
      <w:pPr>
        <w:spacing w:line="520" w:lineRule="exact"/>
        <w:ind w:firstLine="442" w:firstLineChars="200"/>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开户银行帐号：</w:t>
      </w:r>
      <w:r>
        <w:rPr>
          <w:rFonts w:hint="eastAsia" w:ascii="宋体" w:hAnsi="宋体" w:eastAsia="宋体" w:cs="宋体"/>
          <w:color w:val="auto"/>
          <w:sz w:val="21"/>
          <w:szCs w:val="21"/>
          <w:highlight w:val="none"/>
          <w:u w:val="single"/>
        </w:rPr>
        <w:t xml:space="preserve">                                                  </w:t>
      </w:r>
    </w:p>
    <w:p w14:paraId="2BC82F25">
      <w:pPr>
        <w:snapToGrid w:val="0"/>
        <w:spacing w:line="520" w:lineRule="exact"/>
        <w:ind w:firstLine="605" w:firstLineChars="27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36DB786">
      <w:pPr>
        <w:pStyle w:val="22"/>
        <w:rPr>
          <w:rFonts w:hint="eastAsia" w:ascii="宋体" w:hAnsi="宋体" w:eastAsia="宋体" w:cs="宋体"/>
          <w:color w:val="auto"/>
          <w:sz w:val="21"/>
          <w:szCs w:val="21"/>
          <w:highlight w:val="none"/>
        </w:rPr>
      </w:pPr>
    </w:p>
    <w:p w14:paraId="54432C76">
      <w:pPr>
        <w:spacing w:line="420" w:lineRule="exact"/>
        <w:ind w:right="-331" w:rightChars="-100"/>
        <w:jc w:val="right"/>
        <w:rPr>
          <w:rFonts w:hint="default" w:ascii="宋体" w:hAnsi="宋体" w:eastAsia="宋体"/>
          <w:color w:val="auto"/>
          <w:kern w:val="0"/>
          <w:sz w:val="36"/>
          <w:szCs w:val="36"/>
          <w:highlight w:val="none"/>
          <w:u w:val="single"/>
          <w:lang w:val="en-US" w:eastAsia="zh-CN"/>
        </w:rPr>
      </w:pPr>
      <w:r>
        <w:rPr>
          <w:rFonts w:hint="eastAsia" w:ascii="宋体" w:hAnsi="宋体" w:eastAsia="宋体"/>
          <w:color w:val="auto"/>
          <w:kern w:val="0"/>
          <w:sz w:val="36"/>
          <w:szCs w:val="36"/>
          <w:highlight w:val="none"/>
          <w:u w:val="single"/>
        </w:rPr>
        <w:br w:type="page"/>
      </w:r>
      <w:r>
        <w:rPr>
          <w:rFonts w:hint="eastAsia" w:ascii="宋体" w:hAnsi="宋体" w:eastAsia="宋体"/>
          <w:color w:val="auto"/>
          <w:kern w:val="0"/>
          <w:sz w:val="36"/>
          <w:szCs w:val="36"/>
          <w:highlight w:val="none"/>
          <w:u w:val="single"/>
          <w:lang w:val="en-US" w:eastAsia="zh-CN"/>
        </w:rPr>
        <w:t xml:space="preserve">    </w:t>
      </w:r>
      <w:r>
        <w:rPr>
          <w:rFonts w:hint="eastAsia" w:ascii="宋体" w:hAnsi="宋体" w:eastAsia="宋体"/>
          <w:color w:val="auto"/>
          <w:kern w:val="0"/>
          <w:sz w:val="36"/>
          <w:szCs w:val="36"/>
          <w:highlight w:val="none"/>
          <w:u w:val="none"/>
          <w:lang w:val="en-US" w:eastAsia="zh-CN"/>
        </w:rPr>
        <w:t>本</w:t>
      </w:r>
    </w:p>
    <w:p w14:paraId="2E9EA4F6">
      <w:pPr>
        <w:spacing w:line="420" w:lineRule="exact"/>
        <w:ind w:right="-331" w:rightChars="-100"/>
        <w:jc w:val="center"/>
        <w:rPr>
          <w:rFonts w:hint="eastAsia" w:ascii="宋体" w:hAnsi="宋体" w:eastAsia="宋体"/>
          <w:color w:val="auto"/>
          <w:kern w:val="0"/>
          <w:sz w:val="36"/>
          <w:szCs w:val="36"/>
          <w:highlight w:val="none"/>
          <w:u w:val="single"/>
        </w:rPr>
      </w:pPr>
    </w:p>
    <w:p w14:paraId="021C486E">
      <w:pPr>
        <w:spacing w:line="420" w:lineRule="exact"/>
        <w:ind w:right="-331" w:rightChars="-100"/>
        <w:jc w:val="center"/>
        <w:rPr>
          <w:rFonts w:hint="eastAsia" w:ascii="宋体" w:hAnsi="宋体" w:eastAsia="宋体"/>
          <w:color w:val="auto"/>
          <w:kern w:val="0"/>
          <w:sz w:val="36"/>
          <w:szCs w:val="36"/>
          <w:highlight w:val="none"/>
          <w:u w:val="single"/>
        </w:rPr>
      </w:pPr>
    </w:p>
    <w:p w14:paraId="493BB7DC">
      <w:pPr>
        <w:spacing w:line="420" w:lineRule="exact"/>
        <w:ind w:right="-331" w:rightChars="-100"/>
        <w:jc w:val="center"/>
        <w:rPr>
          <w:rFonts w:hint="eastAsia" w:ascii="宋体" w:hAnsi="宋体" w:eastAsia="宋体"/>
          <w:color w:val="auto"/>
          <w:kern w:val="0"/>
          <w:sz w:val="36"/>
          <w:szCs w:val="36"/>
          <w:highlight w:val="none"/>
          <w:lang w:eastAsia="zh-CN"/>
        </w:rPr>
      </w:pPr>
      <w:r>
        <w:rPr>
          <w:rFonts w:hint="eastAsia" w:ascii="宋体" w:hAnsi="宋体" w:eastAsia="宋体"/>
          <w:color w:val="auto"/>
          <w:kern w:val="0"/>
          <w:sz w:val="36"/>
          <w:szCs w:val="36"/>
          <w:highlight w:val="none"/>
          <w:u w:val="single"/>
        </w:rPr>
        <w:t xml:space="preserve">                             </w:t>
      </w:r>
      <w:r>
        <w:rPr>
          <w:rFonts w:hint="eastAsia" w:ascii="宋体" w:hAnsi="宋体" w:eastAsia="宋体"/>
          <w:color w:val="auto"/>
          <w:kern w:val="0"/>
          <w:sz w:val="36"/>
          <w:szCs w:val="36"/>
          <w:highlight w:val="none"/>
          <w:lang w:val="en-US" w:eastAsia="zh-CN"/>
        </w:rPr>
        <w:t>项目</w:t>
      </w:r>
    </w:p>
    <w:p w14:paraId="363286FC">
      <w:pPr>
        <w:spacing w:line="420" w:lineRule="exact"/>
        <w:ind w:firstLine="191" w:firstLineChars="58"/>
        <w:jc w:val="center"/>
        <w:rPr>
          <w:rFonts w:ascii="宋体" w:hAnsi="宋体" w:eastAsia="宋体"/>
          <w:bCs/>
          <w:color w:val="auto"/>
          <w:spacing w:val="-20"/>
          <w:sz w:val="36"/>
          <w:szCs w:val="36"/>
          <w:highlight w:val="none"/>
        </w:rPr>
      </w:pPr>
    </w:p>
    <w:p w14:paraId="54661F39">
      <w:pPr>
        <w:spacing w:line="420" w:lineRule="exact"/>
        <w:ind w:firstLine="191" w:firstLineChars="58"/>
        <w:jc w:val="center"/>
        <w:rPr>
          <w:rFonts w:ascii="宋体" w:hAnsi="宋体" w:eastAsia="宋体"/>
          <w:bCs/>
          <w:color w:val="auto"/>
          <w:spacing w:val="-20"/>
          <w:sz w:val="36"/>
          <w:szCs w:val="36"/>
          <w:highlight w:val="none"/>
        </w:rPr>
      </w:pPr>
    </w:p>
    <w:p w14:paraId="749A8F46">
      <w:pPr>
        <w:spacing w:line="420" w:lineRule="exact"/>
        <w:ind w:firstLine="191" w:firstLineChars="58"/>
        <w:jc w:val="center"/>
        <w:rPr>
          <w:rFonts w:ascii="宋体" w:hAnsi="宋体" w:eastAsia="宋体"/>
          <w:bCs/>
          <w:color w:val="auto"/>
          <w:spacing w:val="-20"/>
          <w:sz w:val="36"/>
          <w:highlight w:val="none"/>
        </w:rPr>
      </w:pPr>
    </w:p>
    <w:p w14:paraId="5ECB035C">
      <w:pPr>
        <w:spacing w:line="420" w:lineRule="exact"/>
        <w:ind w:firstLine="191" w:firstLineChars="58"/>
        <w:jc w:val="center"/>
        <w:rPr>
          <w:rFonts w:ascii="宋体" w:hAnsi="宋体" w:eastAsia="宋体"/>
          <w:bCs/>
          <w:color w:val="auto"/>
          <w:spacing w:val="-20"/>
          <w:sz w:val="36"/>
          <w:highlight w:val="none"/>
        </w:rPr>
      </w:pPr>
    </w:p>
    <w:p w14:paraId="3597EC5A">
      <w:pPr>
        <w:spacing w:line="420" w:lineRule="exact"/>
        <w:ind w:firstLine="191" w:firstLineChars="58"/>
        <w:jc w:val="center"/>
        <w:rPr>
          <w:rFonts w:ascii="宋体" w:hAnsi="宋体" w:eastAsia="宋体"/>
          <w:bCs/>
          <w:color w:val="auto"/>
          <w:spacing w:val="-20"/>
          <w:sz w:val="36"/>
          <w:highlight w:val="none"/>
        </w:rPr>
      </w:pPr>
    </w:p>
    <w:p w14:paraId="7974304B">
      <w:pPr>
        <w:spacing w:line="420" w:lineRule="exact"/>
        <w:ind w:firstLine="191" w:firstLineChars="58"/>
        <w:jc w:val="center"/>
        <w:rPr>
          <w:rFonts w:ascii="宋体" w:hAnsi="宋体" w:eastAsia="宋体"/>
          <w:bCs/>
          <w:color w:val="auto"/>
          <w:spacing w:val="-20"/>
          <w:sz w:val="36"/>
          <w:highlight w:val="none"/>
        </w:rPr>
      </w:pPr>
    </w:p>
    <w:p w14:paraId="241367F9">
      <w:pPr>
        <w:spacing w:line="420" w:lineRule="exact"/>
        <w:ind w:firstLine="191" w:firstLineChars="58"/>
        <w:jc w:val="center"/>
        <w:rPr>
          <w:rFonts w:ascii="宋体" w:hAnsi="宋体" w:eastAsia="宋体"/>
          <w:bCs/>
          <w:color w:val="auto"/>
          <w:spacing w:val="-20"/>
          <w:sz w:val="36"/>
          <w:highlight w:val="none"/>
        </w:rPr>
      </w:pPr>
    </w:p>
    <w:p w14:paraId="5E1C5814">
      <w:pPr>
        <w:spacing w:line="1200" w:lineRule="exact"/>
        <w:jc w:val="center"/>
        <w:rPr>
          <w:rFonts w:ascii="宋体" w:hAnsi="宋体" w:eastAsia="宋体"/>
          <w:bCs/>
          <w:color w:val="auto"/>
          <w:spacing w:val="-20"/>
          <w:sz w:val="96"/>
          <w:highlight w:val="none"/>
        </w:rPr>
      </w:pPr>
      <w:r>
        <w:rPr>
          <w:rFonts w:hint="eastAsia" w:ascii="宋体" w:hAnsi="宋体" w:eastAsia="宋体" w:cs="宋体"/>
          <w:bCs/>
          <w:color w:val="auto"/>
          <w:spacing w:val="-20"/>
          <w:sz w:val="96"/>
          <w:highlight w:val="none"/>
          <w:lang w:val="en-US" w:eastAsia="zh-CN"/>
        </w:rPr>
        <w:t>响 应</w:t>
      </w:r>
      <w:r>
        <w:rPr>
          <w:rFonts w:hint="eastAsia" w:ascii="宋体" w:hAnsi="宋体" w:eastAsia="宋体" w:cs="宋体"/>
          <w:bCs/>
          <w:color w:val="auto"/>
          <w:spacing w:val="-20"/>
          <w:sz w:val="96"/>
          <w:highlight w:val="none"/>
        </w:rPr>
        <w:t xml:space="preserve"> 文 件</w:t>
      </w:r>
    </w:p>
    <w:p w14:paraId="7EEDDCFA">
      <w:pPr>
        <w:spacing w:line="420" w:lineRule="exact"/>
        <w:ind w:firstLine="2328" w:firstLineChars="800"/>
        <w:rPr>
          <w:rFonts w:ascii="宋体" w:hAnsi="宋体" w:eastAsia="宋体"/>
          <w:color w:val="auto"/>
          <w:sz w:val="28"/>
          <w:highlight w:val="none"/>
        </w:rPr>
      </w:pPr>
    </w:p>
    <w:p w14:paraId="76A4E0B1">
      <w:pPr>
        <w:spacing w:line="420" w:lineRule="exact"/>
        <w:rPr>
          <w:rFonts w:ascii="宋体" w:hAnsi="宋体" w:eastAsia="宋体"/>
          <w:color w:val="auto"/>
          <w:sz w:val="44"/>
          <w:highlight w:val="none"/>
        </w:rPr>
      </w:pPr>
    </w:p>
    <w:p w14:paraId="7964B53C">
      <w:pPr>
        <w:spacing w:line="420" w:lineRule="exact"/>
        <w:rPr>
          <w:rFonts w:ascii="宋体" w:hAnsi="宋体" w:eastAsia="宋体"/>
          <w:color w:val="auto"/>
          <w:highlight w:val="none"/>
          <w:u w:val="single"/>
        </w:rPr>
      </w:pPr>
    </w:p>
    <w:p w14:paraId="0BC0F6DC">
      <w:pPr>
        <w:spacing w:line="420" w:lineRule="exact"/>
        <w:rPr>
          <w:rFonts w:ascii="宋体" w:hAnsi="宋体" w:eastAsia="宋体"/>
          <w:color w:val="auto"/>
          <w:highlight w:val="none"/>
          <w:u w:val="single"/>
        </w:rPr>
      </w:pPr>
    </w:p>
    <w:p w14:paraId="2EBC6122">
      <w:pPr>
        <w:spacing w:line="420" w:lineRule="exact"/>
        <w:rPr>
          <w:rFonts w:ascii="宋体" w:hAnsi="宋体" w:eastAsia="宋体"/>
          <w:color w:val="auto"/>
          <w:highlight w:val="none"/>
          <w:u w:val="single"/>
        </w:rPr>
      </w:pPr>
    </w:p>
    <w:p w14:paraId="7BDA4F3C">
      <w:pPr>
        <w:spacing w:line="420" w:lineRule="exact"/>
        <w:rPr>
          <w:rFonts w:ascii="宋体" w:hAnsi="宋体" w:eastAsia="宋体"/>
          <w:color w:val="auto"/>
          <w:highlight w:val="none"/>
          <w:u w:val="single"/>
        </w:rPr>
      </w:pPr>
    </w:p>
    <w:p w14:paraId="2D8A43E3">
      <w:pPr>
        <w:spacing w:line="420" w:lineRule="exact"/>
        <w:rPr>
          <w:rFonts w:ascii="宋体" w:hAnsi="宋体" w:eastAsia="宋体"/>
          <w:color w:val="auto"/>
          <w:highlight w:val="none"/>
          <w:u w:val="single"/>
        </w:rPr>
      </w:pPr>
    </w:p>
    <w:p w14:paraId="7E8551D6">
      <w:pPr>
        <w:spacing w:line="420" w:lineRule="exact"/>
        <w:rPr>
          <w:rFonts w:ascii="宋体" w:hAnsi="宋体" w:eastAsia="宋体"/>
          <w:color w:val="auto"/>
          <w:highlight w:val="none"/>
          <w:u w:val="single"/>
        </w:rPr>
      </w:pPr>
    </w:p>
    <w:p w14:paraId="28EB2BB3">
      <w:pPr>
        <w:spacing w:line="420" w:lineRule="exact"/>
        <w:rPr>
          <w:rFonts w:ascii="宋体" w:hAnsi="宋体" w:eastAsia="宋体"/>
          <w:color w:val="auto"/>
          <w:highlight w:val="none"/>
          <w:u w:val="single"/>
        </w:rPr>
      </w:pPr>
    </w:p>
    <w:p w14:paraId="5B8E12E1">
      <w:pPr>
        <w:spacing w:line="420" w:lineRule="exact"/>
        <w:rPr>
          <w:rFonts w:ascii="宋体" w:hAnsi="宋体" w:eastAsia="宋体"/>
          <w:color w:val="auto"/>
          <w:highlight w:val="none"/>
          <w:u w:val="single"/>
        </w:rPr>
      </w:pPr>
    </w:p>
    <w:p w14:paraId="1CE9953F">
      <w:pPr>
        <w:tabs>
          <w:tab w:val="left" w:pos="7140"/>
        </w:tabs>
        <w:spacing w:line="420" w:lineRule="exact"/>
        <w:ind w:firstLine="629"/>
        <w:rPr>
          <w:rFonts w:ascii="宋体" w:hAnsi="宋体" w:eastAsia="宋体"/>
          <w:color w:val="auto"/>
          <w:sz w:val="36"/>
          <w:highlight w:val="none"/>
        </w:rPr>
      </w:pPr>
      <w:r>
        <w:rPr>
          <w:rFonts w:hint="eastAsia" w:ascii="宋体" w:hAnsi="宋体" w:eastAsia="宋体"/>
          <w:color w:val="auto"/>
          <w:sz w:val="36"/>
          <w:highlight w:val="none"/>
        </w:rPr>
        <w:t xml:space="preserve">投 标 人（法人章）        </w:t>
      </w:r>
    </w:p>
    <w:p w14:paraId="62A1B2F9">
      <w:pPr>
        <w:spacing w:line="420" w:lineRule="exact"/>
        <w:ind w:firstLine="629"/>
        <w:rPr>
          <w:rFonts w:ascii="宋体" w:hAnsi="宋体" w:eastAsia="宋体"/>
          <w:color w:val="auto"/>
          <w:sz w:val="36"/>
          <w:highlight w:val="none"/>
        </w:rPr>
      </w:pPr>
    </w:p>
    <w:p w14:paraId="60F75617">
      <w:pPr>
        <w:spacing w:line="420" w:lineRule="exact"/>
        <w:ind w:firstLine="629"/>
        <w:rPr>
          <w:rFonts w:ascii="宋体" w:hAnsi="宋体" w:eastAsia="宋体"/>
          <w:color w:val="auto"/>
          <w:sz w:val="36"/>
          <w:highlight w:val="none"/>
        </w:rPr>
      </w:pPr>
      <w:r>
        <w:rPr>
          <w:rFonts w:hint="eastAsia" w:ascii="宋体" w:hAnsi="宋体" w:eastAsia="宋体"/>
          <w:color w:val="auto"/>
          <w:sz w:val="36"/>
          <w:highlight w:val="none"/>
        </w:rPr>
        <w:t>法定代表人（签字或盖章）</w:t>
      </w:r>
    </w:p>
    <w:p w14:paraId="0859F73A">
      <w:pPr>
        <w:spacing w:line="420" w:lineRule="exact"/>
        <w:ind w:firstLine="629"/>
        <w:rPr>
          <w:rFonts w:ascii="宋体" w:hAnsi="宋体" w:eastAsia="宋体"/>
          <w:color w:val="auto"/>
          <w:sz w:val="36"/>
          <w:highlight w:val="none"/>
        </w:rPr>
      </w:pPr>
      <w:r>
        <w:rPr>
          <w:rFonts w:hint="eastAsia" w:ascii="宋体" w:hAnsi="宋体" w:eastAsia="宋体"/>
          <w:color w:val="auto"/>
          <w:sz w:val="36"/>
          <w:highlight w:val="none"/>
        </w:rPr>
        <w:t>或委托代理人</w:t>
      </w:r>
    </w:p>
    <w:p w14:paraId="61085076">
      <w:pPr>
        <w:spacing w:line="420" w:lineRule="exact"/>
        <w:ind w:firstLine="629"/>
        <w:rPr>
          <w:rFonts w:ascii="宋体" w:hAnsi="宋体" w:eastAsia="宋体"/>
          <w:color w:val="auto"/>
          <w:sz w:val="36"/>
          <w:highlight w:val="none"/>
          <w:u w:val="single"/>
        </w:rPr>
      </w:pPr>
    </w:p>
    <w:p w14:paraId="48980CE5">
      <w:pPr>
        <w:tabs>
          <w:tab w:val="left" w:pos="1995"/>
        </w:tabs>
        <w:spacing w:line="420" w:lineRule="exact"/>
        <w:ind w:firstLine="629"/>
        <w:rPr>
          <w:rFonts w:ascii="宋体" w:hAnsi="宋体" w:eastAsia="宋体"/>
          <w:color w:val="auto"/>
          <w:sz w:val="36"/>
          <w:highlight w:val="none"/>
        </w:rPr>
      </w:pPr>
      <w:r>
        <w:rPr>
          <w:rFonts w:hint="eastAsia" w:ascii="宋体" w:hAnsi="宋体" w:eastAsia="宋体"/>
          <w:color w:val="auto"/>
          <w:sz w:val="36"/>
          <w:highlight w:val="none"/>
        </w:rPr>
        <w:t>日    期：        年    月    日</w:t>
      </w:r>
    </w:p>
    <w:p w14:paraId="7FD6D7D0">
      <w:pPr>
        <w:spacing w:line="480" w:lineRule="auto"/>
        <w:ind w:firstLine="991" w:firstLineChars="202"/>
        <w:jc w:val="center"/>
        <w:rPr>
          <w:rFonts w:hint="eastAsia" w:ascii="宋体" w:hAnsi="宋体" w:eastAsia="宋体"/>
          <w:color w:val="auto"/>
          <w:spacing w:val="20"/>
          <w:sz w:val="44"/>
          <w:szCs w:val="48"/>
          <w:highlight w:val="none"/>
          <w:lang w:val="en-US" w:eastAsia="zh-CN"/>
        </w:rPr>
      </w:pPr>
      <w:r>
        <w:rPr>
          <w:rFonts w:ascii="宋体" w:hAnsi="宋体" w:eastAsia="宋体"/>
          <w:color w:val="auto"/>
          <w:spacing w:val="20"/>
          <w:sz w:val="44"/>
          <w:szCs w:val="48"/>
          <w:highlight w:val="none"/>
        </w:rPr>
        <w:br w:type="page"/>
      </w:r>
      <w:r>
        <w:rPr>
          <w:rFonts w:hint="eastAsia" w:ascii="宋体" w:hAnsi="宋体" w:eastAsia="宋体"/>
          <w:color w:val="auto"/>
          <w:spacing w:val="20"/>
          <w:sz w:val="44"/>
          <w:szCs w:val="48"/>
          <w:highlight w:val="none"/>
          <w:lang w:val="en-US" w:eastAsia="zh-CN"/>
        </w:rPr>
        <w:t>报价清单</w:t>
      </w:r>
    </w:p>
    <w:tbl>
      <w:tblPr>
        <w:tblStyle w:val="24"/>
        <w:tblW w:w="9965" w:type="dxa"/>
        <w:tblInd w:w="-3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450"/>
        <w:gridCol w:w="643"/>
        <w:gridCol w:w="729"/>
        <w:gridCol w:w="621"/>
        <w:gridCol w:w="4045"/>
        <w:gridCol w:w="416"/>
        <w:gridCol w:w="638"/>
        <w:gridCol w:w="879"/>
        <w:gridCol w:w="900"/>
        <w:gridCol w:w="644"/>
      </w:tblGrid>
      <w:tr w14:paraId="6E522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6" w:hRule="atLeast"/>
        </w:trPr>
        <w:tc>
          <w:tcPr>
            <w:tcW w:w="450" w:type="dxa"/>
            <w:tcBorders>
              <w:tl2br w:val="nil"/>
              <w:tr2bl w:val="nil"/>
            </w:tcBorders>
            <w:shd w:val="clear" w:color="auto" w:fill="FFFFFF"/>
            <w:vAlign w:val="center"/>
          </w:tcPr>
          <w:p w14:paraId="4F5310E1">
            <w:pPr>
              <w:keepNext w:val="0"/>
              <w:keepLines w:val="0"/>
              <w:widowControl/>
              <w:suppressLineNumbers w:val="0"/>
              <w:jc w:val="center"/>
              <w:textAlignment w:val="center"/>
              <w:rPr>
                <w:rFonts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序号</w:t>
            </w:r>
          </w:p>
        </w:tc>
        <w:tc>
          <w:tcPr>
            <w:tcW w:w="643" w:type="dxa"/>
            <w:tcBorders>
              <w:tl2br w:val="nil"/>
              <w:tr2bl w:val="nil"/>
            </w:tcBorders>
            <w:shd w:val="clear" w:color="auto" w:fill="FFFFFF"/>
            <w:vAlign w:val="center"/>
          </w:tcPr>
          <w:p w14:paraId="32D8E29B">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项目名称</w:t>
            </w:r>
          </w:p>
        </w:tc>
        <w:tc>
          <w:tcPr>
            <w:tcW w:w="5395" w:type="dxa"/>
            <w:gridSpan w:val="3"/>
            <w:tcBorders>
              <w:tl2br w:val="nil"/>
              <w:tr2bl w:val="nil"/>
            </w:tcBorders>
            <w:shd w:val="clear" w:color="auto" w:fill="FFFFFF"/>
            <w:vAlign w:val="center"/>
          </w:tcPr>
          <w:p w14:paraId="2CC13D81">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项目特征描述</w:t>
            </w:r>
          </w:p>
        </w:tc>
        <w:tc>
          <w:tcPr>
            <w:tcW w:w="416" w:type="dxa"/>
            <w:tcBorders>
              <w:tl2br w:val="nil"/>
              <w:tr2bl w:val="nil"/>
            </w:tcBorders>
            <w:shd w:val="clear" w:color="auto" w:fill="FFFFFF"/>
            <w:vAlign w:val="center"/>
          </w:tcPr>
          <w:p w14:paraId="0036F84F">
            <w:pPr>
              <w:jc w:val="center"/>
              <w:rPr>
                <w:rFonts w:hint="eastAsia" w:ascii="黑体" w:hAnsi="宋体" w:eastAsia="黑体" w:cs="黑体"/>
                <w:b/>
                <w:bCs/>
                <w:i w:val="0"/>
                <w:iCs w:val="0"/>
                <w:color w:val="000000"/>
                <w:sz w:val="20"/>
                <w:szCs w:val="20"/>
                <w:u w:val="none"/>
                <w:lang w:val="en-US" w:eastAsia="zh-CN"/>
              </w:rPr>
            </w:pPr>
            <w:r>
              <w:rPr>
                <w:rFonts w:hint="eastAsia" w:ascii="黑体" w:hAnsi="宋体" w:eastAsia="黑体" w:cs="黑体"/>
                <w:b/>
                <w:bCs/>
                <w:i w:val="0"/>
                <w:iCs w:val="0"/>
                <w:color w:val="000000"/>
                <w:sz w:val="20"/>
                <w:szCs w:val="20"/>
                <w:u w:val="none"/>
                <w:lang w:val="en-US" w:eastAsia="zh-CN"/>
              </w:rPr>
              <w:t>单位</w:t>
            </w:r>
          </w:p>
        </w:tc>
        <w:tc>
          <w:tcPr>
            <w:tcW w:w="638" w:type="dxa"/>
            <w:tcBorders>
              <w:tl2br w:val="nil"/>
              <w:tr2bl w:val="nil"/>
            </w:tcBorders>
            <w:shd w:val="clear" w:color="auto" w:fill="FFFFFF"/>
            <w:vAlign w:val="center"/>
          </w:tcPr>
          <w:p w14:paraId="4C4686CC">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工程量</w:t>
            </w:r>
          </w:p>
        </w:tc>
        <w:tc>
          <w:tcPr>
            <w:tcW w:w="879" w:type="dxa"/>
            <w:tcBorders>
              <w:tl2br w:val="nil"/>
              <w:tr2bl w:val="nil"/>
            </w:tcBorders>
            <w:shd w:val="clear" w:color="auto" w:fill="FFFFFF"/>
            <w:vAlign w:val="center"/>
          </w:tcPr>
          <w:p w14:paraId="19695403">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全费用综合单价（元）</w:t>
            </w:r>
          </w:p>
        </w:tc>
        <w:tc>
          <w:tcPr>
            <w:tcW w:w="900" w:type="dxa"/>
            <w:tcBorders>
              <w:tl2br w:val="nil"/>
              <w:tr2bl w:val="nil"/>
            </w:tcBorders>
            <w:shd w:val="clear" w:color="auto" w:fill="FFFFFF"/>
            <w:vAlign w:val="center"/>
          </w:tcPr>
          <w:p w14:paraId="455859A2">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合价</w:t>
            </w:r>
            <w:r>
              <w:rPr>
                <w:rFonts w:hint="eastAsia" w:ascii="黑体" w:hAnsi="宋体" w:eastAsia="黑体" w:cs="黑体"/>
                <w:b/>
                <w:bCs/>
                <w:i w:val="0"/>
                <w:iCs w:val="0"/>
                <w:color w:val="000000"/>
                <w:kern w:val="0"/>
                <w:sz w:val="20"/>
                <w:szCs w:val="20"/>
                <w:u w:val="none"/>
                <w:lang w:val="en-US" w:eastAsia="zh-CN" w:bidi="ar"/>
              </w:rPr>
              <w:br w:type="textWrapping"/>
            </w:r>
            <w:r>
              <w:rPr>
                <w:rFonts w:hint="eastAsia" w:ascii="黑体" w:hAnsi="宋体" w:eastAsia="黑体" w:cs="黑体"/>
                <w:b/>
                <w:bCs/>
                <w:i w:val="0"/>
                <w:iCs w:val="0"/>
                <w:color w:val="000000"/>
                <w:kern w:val="0"/>
                <w:sz w:val="20"/>
                <w:szCs w:val="20"/>
                <w:u w:val="none"/>
                <w:lang w:val="en-US" w:eastAsia="zh-CN" w:bidi="ar"/>
              </w:rPr>
              <w:t>（元）</w:t>
            </w:r>
          </w:p>
        </w:tc>
        <w:tc>
          <w:tcPr>
            <w:tcW w:w="644" w:type="dxa"/>
            <w:tcBorders>
              <w:tl2br w:val="nil"/>
              <w:tr2bl w:val="nil"/>
            </w:tcBorders>
            <w:shd w:val="clear" w:color="auto" w:fill="FFFFFF"/>
            <w:vAlign w:val="center"/>
          </w:tcPr>
          <w:p w14:paraId="7A02E46D">
            <w:pPr>
              <w:keepNext w:val="0"/>
              <w:keepLines w:val="0"/>
              <w:widowControl/>
              <w:suppressLineNumbers w:val="0"/>
              <w:jc w:val="center"/>
              <w:textAlignment w:val="center"/>
              <w:rPr>
                <w:rFonts w:hint="eastAsia" w:ascii="黑体" w:hAnsi="宋体" w:eastAsia="黑体" w:cs="黑体"/>
                <w:b/>
                <w:bCs/>
                <w:i w:val="0"/>
                <w:iCs w:val="0"/>
                <w:color w:val="000000"/>
                <w:kern w:val="0"/>
                <w:sz w:val="20"/>
                <w:szCs w:val="20"/>
                <w:u w:val="none"/>
                <w:lang w:val="en-US" w:eastAsia="zh-CN" w:bidi="ar"/>
              </w:rPr>
            </w:pPr>
            <w:r>
              <w:rPr>
                <w:rFonts w:hint="eastAsia" w:ascii="黑体" w:hAnsi="宋体" w:eastAsia="黑体" w:cs="黑体"/>
                <w:b/>
                <w:bCs/>
                <w:i w:val="0"/>
                <w:iCs w:val="0"/>
                <w:color w:val="000000"/>
                <w:kern w:val="0"/>
                <w:sz w:val="20"/>
                <w:szCs w:val="20"/>
                <w:u w:val="none"/>
                <w:lang w:val="en-US" w:eastAsia="zh-CN" w:bidi="ar"/>
              </w:rPr>
              <w:t>投标品牌型号</w:t>
            </w:r>
          </w:p>
        </w:tc>
      </w:tr>
      <w:tr w14:paraId="1F467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40" w:hRule="atLeast"/>
        </w:trPr>
        <w:tc>
          <w:tcPr>
            <w:tcW w:w="450" w:type="dxa"/>
            <w:vMerge w:val="restart"/>
            <w:tcBorders>
              <w:tl2br w:val="nil"/>
              <w:tr2bl w:val="nil"/>
            </w:tcBorders>
            <w:shd w:val="clear" w:color="auto" w:fill="auto"/>
            <w:vAlign w:val="center"/>
          </w:tcPr>
          <w:p w14:paraId="6B653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3" w:type="dxa"/>
            <w:vMerge w:val="restart"/>
            <w:tcBorders>
              <w:tl2br w:val="nil"/>
              <w:tr2bl w:val="nil"/>
            </w:tcBorders>
            <w:shd w:val="clear" w:color="auto" w:fill="auto"/>
            <w:vAlign w:val="center"/>
          </w:tcPr>
          <w:p w14:paraId="1DBFDF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应急工具箱</w:t>
            </w:r>
          </w:p>
        </w:tc>
        <w:tc>
          <w:tcPr>
            <w:tcW w:w="729" w:type="dxa"/>
            <w:vMerge w:val="restart"/>
            <w:tcBorders>
              <w:tl2br w:val="nil"/>
              <w:tr2bl w:val="nil"/>
            </w:tcBorders>
            <w:shd w:val="clear" w:color="auto" w:fill="auto"/>
            <w:noWrap/>
            <w:vAlign w:val="center"/>
          </w:tcPr>
          <w:p w14:paraId="2B2EA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硬件要求</w:t>
            </w:r>
          </w:p>
        </w:tc>
        <w:tc>
          <w:tcPr>
            <w:tcW w:w="621" w:type="dxa"/>
            <w:tcBorders>
              <w:tl2br w:val="nil"/>
              <w:tr2bl w:val="nil"/>
            </w:tcBorders>
            <w:shd w:val="clear" w:color="auto" w:fill="auto"/>
            <w:vAlign w:val="center"/>
          </w:tcPr>
          <w:p w14:paraId="5277C2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w:t>
            </w:r>
          </w:p>
        </w:tc>
        <w:tc>
          <w:tcPr>
            <w:tcW w:w="4045" w:type="dxa"/>
            <w:tcBorders>
              <w:tl2br w:val="nil"/>
              <w:tr2bl w:val="nil"/>
            </w:tcBorders>
            <w:shd w:val="clear" w:color="auto" w:fill="auto"/>
            <w:vAlign w:val="center"/>
          </w:tcPr>
          <w:p w14:paraId="4D85FB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便携加固式形态，CPU不低于英特尔 i7处理器1.8GHZ，设备标配16GB DDR3内存，1TB SSD 硬盘，设备标配14寸屏幕，标配3个USB3.0，1个USB2.0，1个VGA，1个HDMI，2个RJ45网口；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硬件定制：U口检查工具硬件定制结构，替代原内置刻录光驱位置，包含2根USB转Typec连接线；</w:t>
            </w:r>
          </w:p>
        </w:tc>
        <w:tc>
          <w:tcPr>
            <w:tcW w:w="416" w:type="dxa"/>
            <w:vMerge w:val="restart"/>
            <w:tcBorders>
              <w:tl2br w:val="nil"/>
              <w:tr2bl w:val="nil"/>
            </w:tcBorders>
            <w:shd w:val="clear" w:color="auto" w:fill="auto"/>
            <w:vAlign w:val="center"/>
          </w:tcPr>
          <w:p w14:paraId="635118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38" w:type="dxa"/>
            <w:vMerge w:val="restart"/>
            <w:tcBorders>
              <w:tl2br w:val="nil"/>
              <w:tr2bl w:val="nil"/>
            </w:tcBorders>
            <w:shd w:val="clear" w:color="auto" w:fill="auto"/>
            <w:vAlign w:val="center"/>
          </w:tcPr>
          <w:p w14:paraId="6EF8AE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9" w:type="dxa"/>
            <w:vMerge w:val="restart"/>
            <w:tcBorders>
              <w:tl2br w:val="nil"/>
              <w:tr2bl w:val="nil"/>
            </w:tcBorders>
            <w:shd w:val="clear" w:color="auto" w:fill="auto"/>
            <w:vAlign w:val="center"/>
          </w:tcPr>
          <w:p w14:paraId="3A4D1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00" w:type="dxa"/>
            <w:vMerge w:val="restart"/>
            <w:tcBorders>
              <w:tl2br w:val="nil"/>
              <w:tr2bl w:val="nil"/>
            </w:tcBorders>
            <w:shd w:val="clear" w:color="auto" w:fill="auto"/>
            <w:vAlign w:val="center"/>
          </w:tcPr>
          <w:p w14:paraId="2D4F82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44" w:type="dxa"/>
            <w:vMerge w:val="restart"/>
            <w:tcBorders>
              <w:tl2br w:val="nil"/>
              <w:tr2bl w:val="nil"/>
            </w:tcBorders>
            <w:shd w:val="clear" w:color="auto" w:fill="auto"/>
            <w:vAlign w:val="center"/>
          </w:tcPr>
          <w:p w14:paraId="16E8E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006E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60" w:hRule="atLeast"/>
        </w:trPr>
        <w:tc>
          <w:tcPr>
            <w:tcW w:w="450" w:type="dxa"/>
            <w:vMerge w:val="continue"/>
            <w:tcBorders>
              <w:tl2br w:val="nil"/>
              <w:tr2bl w:val="nil"/>
            </w:tcBorders>
            <w:shd w:val="clear" w:color="auto" w:fill="auto"/>
            <w:vAlign w:val="center"/>
          </w:tcPr>
          <w:p w14:paraId="6EE9FD0C">
            <w:pPr>
              <w:jc w:val="center"/>
              <w:rPr>
                <w:rFonts w:hint="eastAsia" w:ascii="宋体" w:hAnsi="宋体" w:eastAsia="宋体" w:cs="宋体"/>
                <w:i w:val="0"/>
                <w:iCs w:val="0"/>
                <w:color w:val="000000"/>
                <w:sz w:val="20"/>
                <w:szCs w:val="20"/>
                <w:u w:val="none"/>
              </w:rPr>
            </w:pPr>
          </w:p>
        </w:tc>
        <w:tc>
          <w:tcPr>
            <w:tcW w:w="643" w:type="dxa"/>
            <w:vMerge w:val="continue"/>
            <w:tcBorders>
              <w:tl2br w:val="nil"/>
              <w:tr2bl w:val="nil"/>
            </w:tcBorders>
            <w:shd w:val="clear" w:color="auto" w:fill="auto"/>
            <w:vAlign w:val="center"/>
          </w:tcPr>
          <w:p w14:paraId="2988C2E5">
            <w:pPr>
              <w:jc w:val="center"/>
              <w:rPr>
                <w:rFonts w:hint="eastAsia" w:ascii="宋体" w:hAnsi="宋体" w:eastAsia="宋体" w:cs="宋体"/>
                <w:i w:val="0"/>
                <w:iCs w:val="0"/>
                <w:color w:val="000000"/>
                <w:sz w:val="20"/>
                <w:szCs w:val="20"/>
                <w:u w:val="none"/>
              </w:rPr>
            </w:pPr>
          </w:p>
        </w:tc>
        <w:tc>
          <w:tcPr>
            <w:tcW w:w="729" w:type="dxa"/>
            <w:vMerge w:val="continue"/>
            <w:tcBorders>
              <w:tl2br w:val="nil"/>
              <w:tr2bl w:val="nil"/>
            </w:tcBorders>
            <w:shd w:val="clear" w:color="auto" w:fill="auto"/>
            <w:noWrap/>
            <w:vAlign w:val="center"/>
          </w:tcPr>
          <w:p w14:paraId="68AA0260">
            <w:pPr>
              <w:jc w:val="center"/>
              <w:rPr>
                <w:rFonts w:hint="eastAsia" w:ascii="宋体" w:hAnsi="宋体" w:eastAsia="宋体" w:cs="宋体"/>
                <w:i w:val="0"/>
                <w:iCs w:val="0"/>
                <w:color w:val="000000"/>
                <w:sz w:val="20"/>
                <w:szCs w:val="20"/>
                <w:u w:val="none"/>
              </w:rPr>
            </w:pPr>
          </w:p>
        </w:tc>
        <w:tc>
          <w:tcPr>
            <w:tcW w:w="621" w:type="dxa"/>
            <w:tcBorders>
              <w:tl2br w:val="nil"/>
              <w:tr2bl w:val="nil"/>
            </w:tcBorders>
            <w:shd w:val="clear" w:color="auto" w:fill="auto"/>
            <w:vAlign w:val="center"/>
          </w:tcPr>
          <w:p w14:paraId="0919E9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安全箱</w:t>
            </w:r>
          </w:p>
        </w:tc>
        <w:tc>
          <w:tcPr>
            <w:tcW w:w="4045" w:type="dxa"/>
            <w:tcBorders>
              <w:tl2br w:val="nil"/>
              <w:tr2bl w:val="nil"/>
            </w:tcBorders>
            <w:shd w:val="clear" w:color="auto" w:fill="auto"/>
            <w:vAlign w:val="center"/>
          </w:tcPr>
          <w:p w14:paraId="043567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定制数据加密Ukey，数量不低于1个；（用于系统登陆启动）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定制技术工具U盘，数量不低于10个；（用于分别安装工具箱U口检查工具）</w:t>
            </w:r>
          </w:p>
        </w:tc>
        <w:tc>
          <w:tcPr>
            <w:tcW w:w="416" w:type="dxa"/>
            <w:vMerge w:val="continue"/>
            <w:tcBorders>
              <w:tl2br w:val="nil"/>
              <w:tr2bl w:val="nil"/>
            </w:tcBorders>
            <w:shd w:val="clear" w:color="auto" w:fill="auto"/>
            <w:vAlign w:val="center"/>
          </w:tcPr>
          <w:p w14:paraId="0097AA2A">
            <w:pPr>
              <w:jc w:val="center"/>
              <w:rPr>
                <w:rFonts w:hint="eastAsia" w:ascii="宋体" w:hAnsi="宋体" w:eastAsia="宋体" w:cs="宋体"/>
                <w:i w:val="0"/>
                <w:iCs w:val="0"/>
                <w:color w:val="000000"/>
                <w:sz w:val="20"/>
                <w:szCs w:val="20"/>
                <w:u w:val="none"/>
              </w:rPr>
            </w:pPr>
          </w:p>
        </w:tc>
        <w:tc>
          <w:tcPr>
            <w:tcW w:w="638" w:type="dxa"/>
            <w:vMerge w:val="continue"/>
            <w:tcBorders>
              <w:tl2br w:val="nil"/>
              <w:tr2bl w:val="nil"/>
            </w:tcBorders>
            <w:shd w:val="clear" w:color="auto" w:fill="auto"/>
            <w:vAlign w:val="center"/>
          </w:tcPr>
          <w:p w14:paraId="0248D1B3">
            <w:pPr>
              <w:jc w:val="center"/>
              <w:rPr>
                <w:rFonts w:hint="eastAsia" w:ascii="宋体" w:hAnsi="宋体" w:eastAsia="宋体" w:cs="宋体"/>
                <w:i w:val="0"/>
                <w:iCs w:val="0"/>
                <w:color w:val="000000"/>
                <w:sz w:val="20"/>
                <w:szCs w:val="20"/>
                <w:u w:val="none"/>
              </w:rPr>
            </w:pPr>
          </w:p>
        </w:tc>
        <w:tc>
          <w:tcPr>
            <w:tcW w:w="879" w:type="dxa"/>
            <w:vMerge w:val="continue"/>
            <w:tcBorders>
              <w:tl2br w:val="nil"/>
              <w:tr2bl w:val="nil"/>
            </w:tcBorders>
            <w:shd w:val="clear" w:color="auto" w:fill="auto"/>
            <w:vAlign w:val="center"/>
          </w:tcPr>
          <w:p w14:paraId="165175D4">
            <w:pPr>
              <w:jc w:val="center"/>
              <w:rPr>
                <w:rFonts w:hint="eastAsia" w:ascii="宋体" w:hAnsi="宋体" w:eastAsia="宋体" w:cs="宋体"/>
                <w:i w:val="0"/>
                <w:iCs w:val="0"/>
                <w:color w:val="000000"/>
                <w:sz w:val="20"/>
                <w:szCs w:val="20"/>
                <w:u w:val="none"/>
              </w:rPr>
            </w:pPr>
          </w:p>
        </w:tc>
        <w:tc>
          <w:tcPr>
            <w:tcW w:w="900" w:type="dxa"/>
            <w:vMerge w:val="continue"/>
            <w:tcBorders>
              <w:tl2br w:val="nil"/>
              <w:tr2bl w:val="nil"/>
            </w:tcBorders>
            <w:shd w:val="clear" w:color="auto" w:fill="auto"/>
            <w:vAlign w:val="center"/>
          </w:tcPr>
          <w:p w14:paraId="10BDE100">
            <w:pPr>
              <w:jc w:val="center"/>
              <w:rPr>
                <w:rFonts w:hint="eastAsia" w:ascii="宋体" w:hAnsi="宋体" w:eastAsia="宋体" w:cs="宋体"/>
                <w:i w:val="0"/>
                <w:iCs w:val="0"/>
                <w:color w:val="000000"/>
                <w:sz w:val="20"/>
                <w:szCs w:val="20"/>
                <w:u w:val="none"/>
              </w:rPr>
            </w:pPr>
          </w:p>
        </w:tc>
        <w:tc>
          <w:tcPr>
            <w:tcW w:w="644" w:type="dxa"/>
            <w:vMerge w:val="continue"/>
            <w:tcBorders>
              <w:tl2br w:val="nil"/>
              <w:tr2bl w:val="nil"/>
            </w:tcBorders>
            <w:shd w:val="clear" w:color="auto" w:fill="auto"/>
            <w:vAlign w:val="center"/>
          </w:tcPr>
          <w:p w14:paraId="2BA3B92F">
            <w:pPr>
              <w:jc w:val="center"/>
              <w:rPr>
                <w:rFonts w:hint="eastAsia" w:ascii="宋体" w:hAnsi="宋体" w:eastAsia="宋体" w:cs="宋体"/>
                <w:i w:val="0"/>
                <w:iCs w:val="0"/>
                <w:color w:val="000000"/>
                <w:sz w:val="20"/>
                <w:szCs w:val="20"/>
                <w:u w:val="none"/>
              </w:rPr>
            </w:pPr>
          </w:p>
        </w:tc>
      </w:tr>
      <w:tr w14:paraId="19850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40" w:hRule="atLeast"/>
        </w:trPr>
        <w:tc>
          <w:tcPr>
            <w:tcW w:w="450" w:type="dxa"/>
            <w:vMerge w:val="continue"/>
            <w:tcBorders>
              <w:tl2br w:val="nil"/>
              <w:tr2bl w:val="nil"/>
            </w:tcBorders>
            <w:shd w:val="clear" w:color="auto" w:fill="auto"/>
            <w:vAlign w:val="center"/>
          </w:tcPr>
          <w:p w14:paraId="1E228D79">
            <w:pPr>
              <w:jc w:val="center"/>
              <w:rPr>
                <w:rFonts w:hint="eastAsia" w:ascii="宋体" w:hAnsi="宋体" w:eastAsia="宋体" w:cs="宋体"/>
                <w:i w:val="0"/>
                <w:iCs w:val="0"/>
                <w:color w:val="000000"/>
                <w:sz w:val="20"/>
                <w:szCs w:val="20"/>
                <w:u w:val="none"/>
              </w:rPr>
            </w:pPr>
          </w:p>
        </w:tc>
        <w:tc>
          <w:tcPr>
            <w:tcW w:w="643" w:type="dxa"/>
            <w:vMerge w:val="continue"/>
            <w:tcBorders>
              <w:tl2br w:val="nil"/>
              <w:tr2bl w:val="nil"/>
            </w:tcBorders>
            <w:shd w:val="clear" w:color="auto" w:fill="auto"/>
            <w:vAlign w:val="center"/>
          </w:tcPr>
          <w:p w14:paraId="786B6164">
            <w:pPr>
              <w:jc w:val="center"/>
              <w:rPr>
                <w:rFonts w:hint="eastAsia" w:ascii="宋体" w:hAnsi="宋体" w:eastAsia="宋体" w:cs="宋体"/>
                <w:i w:val="0"/>
                <w:iCs w:val="0"/>
                <w:color w:val="000000"/>
                <w:sz w:val="20"/>
                <w:szCs w:val="20"/>
                <w:u w:val="none"/>
              </w:rPr>
            </w:pPr>
          </w:p>
        </w:tc>
        <w:tc>
          <w:tcPr>
            <w:tcW w:w="729" w:type="dxa"/>
            <w:vMerge w:val="continue"/>
            <w:tcBorders>
              <w:tl2br w:val="nil"/>
              <w:tr2bl w:val="nil"/>
            </w:tcBorders>
            <w:shd w:val="clear" w:color="auto" w:fill="auto"/>
            <w:noWrap/>
            <w:vAlign w:val="center"/>
          </w:tcPr>
          <w:p w14:paraId="6D602E91">
            <w:pPr>
              <w:jc w:val="center"/>
              <w:rPr>
                <w:rFonts w:hint="eastAsia" w:ascii="宋体" w:hAnsi="宋体" w:eastAsia="宋体" w:cs="宋体"/>
                <w:i w:val="0"/>
                <w:iCs w:val="0"/>
                <w:color w:val="000000"/>
                <w:sz w:val="20"/>
                <w:szCs w:val="20"/>
                <w:u w:val="none"/>
              </w:rPr>
            </w:pPr>
          </w:p>
        </w:tc>
        <w:tc>
          <w:tcPr>
            <w:tcW w:w="621" w:type="dxa"/>
            <w:tcBorders>
              <w:tl2br w:val="nil"/>
              <w:tr2bl w:val="nil"/>
            </w:tcBorders>
            <w:shd w:val="clear" w:color="auto" w:fill="auto"/>
            <w:vAlign w:val="center"/>
          </w:tcPr>
          <w:p w14:paraId="0042B6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安全箱</w:t>
            </w:r>
          </w:p>
        </w:tc>
        <w:tc>
          <w:tcPr>
            <w:tcW w:w="4045" w:type="dxa"/>
            <w:tcBorders>
              <w:tl2br w:val="nil"/>
              <w:tr2bl w:val="nil"/>
            </w:tcBorders>
            <w:shd w:val="clear" w:color="auto" w:fill="auto"/>
            <w:vAlign w:val="center"/>
          </w:tcPr>
          <w:p w14:paraId="362C23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手提式安全箱，防水、防潮、防尘、防腐蚀、抗摔，外部尺寸长49.6*宽39.4*高18.5cm；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定制箱内海绵楦体；（按照产品硬件尺寸量身定制）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配套件包含密码锁≥1个，鼠标≥1个，USB分线器≥1个,网线≥1根；</w:t>
            </w:r>
          </w:p>
        </w:tc>
        <w:tc>
          <w:tcPr>
            <w:tcW w:w="416" w:type="dxa"/>
            <w:vMerge w:val="continue"/>
            <w:tcBorders>
              <w:tl2br w:val="nil"/>
              <w:tr2bl w:val="nil"/>
            </w:tcBorders>
            <w:shd w:val="clear" w:color="auto" w:fill="auto"/>
            <w:vAlign w:val="center"/>
          </w:tcPr>
          <w:p w14:paraId="296AD7B4">
            <w:pPr>
              <w:jc w:val="center"/>
              <w:rPr>
                <w:rFonts w:hint="eastAsia" w:ascii="宋体" w:hAnsi="宋体" w:eastAsia="宋体" w:cs="宋体"/>
                <w:i w:val="0"/>
                <w:iCs w:val="0"/>
                <w:color w:val="000000"/>
                <w:sz w:val="20"/>
                <w:szCs w:val="20"/>
                <w:u w:val="none"/>
              </w:rPr>
            </w:pPr>
          </w:p>
        </w:tc>
        <w:tc>
          <w:tcPr>
            <w:tcW w:w="638" w:type="dxa"/>
            <w:vMerge w:val="continue"/>
            <w:tcBorders>
              <w:tl2br w:val="nil"/>
              <w:tr2bl w:val="nil"/>
            </w:tcBorders>
            <w:shd w:val="clear" w:color="auto" w:fill="auto"/>
            <w:vAlign w:val="center"/>
          </w:tcPr>
          <w:p w14:paraId="1A51D342">
            <w:pPr>
              <w:jc w:val="center"/>
              <w:rPr>
                <w:rFonts w:hint="eastAsia" w:ascii="宋体" w:hAnsi="宋体" w:eastAsia="宋体" w:cs="宋体"/>
                <w:i w:val="0"/>
                <w:iCs w:val="0"/>
                <w:color w:val="000000"/>
                <w:sz w:val="20"/>
                <w:szCs w:val="20"/>
                <w:u w:val="none"/>
              </w:rPr>
            </w:pPr>
          </w:p>
        </w:tc>
        <w:tc>
          <w:tcPr>
            <w:tcW w:w="879" w:type="dxa"/>
            <w:vMerge w:val="continue"/>
            <w:tcBorders>
              <w:tl2br w:val="nil"/>
              <w:tr2bl w:val="nil"/>
            </w:tcBorders>
            <w:shd w:val="clear" w:color="auto" w:fill="auto"/>
            <w:vAlign w:val="center"/>
          </w:tcPr>
          <w:p w14:paraId="6F633D19">
            <w:pPr>
              <w:jc w:val="center"/>
              <w:rPr>
                <w:rFonts w:hint="eastAsia" w:ascii="宋体" w:hAnsi="宋体" w:eastAsia="宋体" w:cs="宋体"/>
                <w:i w:val="0"/>
                <w:iCs w:val="0"/>
                <w:color w:val="000000"/>
                <w:sz w:val="20"/>
                <w:szCs w:val="20"/>
                <w:u w:val="none"/>
              </w:rPr>
            </w:pPr>
          </w:p>
        </w:tc>
        <w:tc>
          <w:tcPr>
            <w:tcW w:w="900" w:type="dxa"/>
            <w:vMerge w:val="continue"/>
            <w:tcBorders>
              <w:tl2br w:val="nil"/>
              <w:tr2bl w:val="nil"/>
            </w:tcBorders>
            <w:shd w:val="clear" w:color="auto" w:fill="auto"/>
            <w:vAlign w:val="center"/>
          </w:tcPr>
          <w:p w14:paraId="5E8D5F6D">
            <w:pPr>
              <w:jc w:val="center"/>
              <w:rPr>
                <w:rFonts w:hint="eastAsia" w:ascii="宋体" w:hAnsi="宋体" w:eastAsia="宋体" w:cs="宋体"/>
                <w:i w:val="0"/>
                <w:iCs w:val="0"/>
                <w:color w:val="000000"/>
                <w:sz w:val="20"/>
                <w:szCs w:val="20"/>
                <w:u w:val="none"/>
              </w:rPr>
            </w:pPr>
          </w:p>
        </w:tc>
        <w:tc>
          <w:tcPr>
            <w:tcW w:w="644" w:type="dxa"/>
            <w:vMerge w:val="continue"/>
            <w:tcBorders>
              <w:tl2br w:val="nil"/>
              <w:tr2bl w:val="nil"/>
            </w:tcBorders>
            <w:shd w:val="clear" w:color="auto" w:fill="auto"/>
            <w:vAlign w:val="center"/>
          </w:tcPr>
          <w:p w14:paraId="0DC8E8BE">
            <w:pPr>
              <w:jc w:val="center"/>
              <w:rPr>
                <w:rFonts w:hint="eastAsia" w:ascii="宋体" w:hAnsi="宋体" w:eastAsia="宋体" w:cs="宋体"/>
                <w:i w:val="0"/>
                <w:iCs w:val="0"/>
                <w:color w:val="000000"/>
                <w:sz w:val="20"/>
                <w:szCs w:val="20"/>
                <w:u w:val="none"/>
              </w:rPr>
            </w:pPr>
          </w:p>
        </w:tc>
      </w:tr>
      <w:tr w14:paraId="2BFBC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5" w:hRule="atLeast"/>
        </w:trPr>
        <w:tc>
          <w:tcPr>
            <w:tcW w:w="450" w:type="dxa"/>
            <w:vMerge w:val="continue"/>
            <w:tcBorders>
              <w:tl2br w:val="nil"/>
              <w:tr2bl w:val="nil"/>
            </w:tcBorders>
            <w:shd w:val="clear" w:color="auto" w:fill="auto"/>
            <w:vAlign w:val="center"/>
          </w:tcPr>
          <w:p w14:paraId="7839D8C4">
            <w:pPr>
              <w:jc w:val="center"/>
              <w:rPr>
                <w:rFonts w:hint="eastAsia" w:ascii="宋体" w:hAnsi="宋体" w:eastAsia="宋体" w:cs="宋体"/>
                <w:i w:val="0"/>
                <w:iCs w:val="0"/>
                <w:color w:val="000000"/>
                <w:sz w:val="20"/>
                <w:szCs w:val="20"/>
                <w:u w:val="none"/>
              </w:rPr>
            </w:pPr>
          </w:p>
        </w:tc>
        <w:tc>
          <w:tcPr>
            <w:tcW w:w="643" w:type="dxa"/>
            <w:vMerge w:val="continue"/>
            <w:tcBorders>
              <w:tl2br w:val="nil"/>
              <w:tr2bl w:val="nil"/>
            </w:tcBorders>
            <w:shd w:val="clear" w:color="auto" w:fill="auto"/>
            <w:vAlign w:val="center"/>
          </w:tcPr>
          <w:p w14:paraId="3638FB4E">
            <w:pPr>
              <w:jc w:val="center"/>
              <w:rPr>
                <w:rFonts w:hint="eastAsia" w:ascii="宋体" w:hAnsi="宋体" w:eastAsia="宋体" w:cs="宋体"/>
                <w:i w:val="0"/>
                <w:iCs w:val="0"/>
                <w:color w:val="000000"/>
                <w:sz w:val="20"/>
                <w:szCs w:val="20"/>
                <w:u w:val="none"/>
              </w:rPr>
            </w:pPr>
          </w:p>
        </w:tc>
        <w:tc>
          <w:tcPr>
            <w:tcW w:w="729" w:type="dxa"/>
            <w:vMerge w:val="restart"/>
            <w:tcBorders>
              <w:tl2br w:val="nil"/>
              <w:tr2bl w:val="nil"/>
            </w:tcBorders>
            <w:shd w:val="clear" w:color="auto" w:fill="auto"/>
            <w:vAlign w:val="center"/>
          </w:tcPr>
          <w:p w14:paraId="672DB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软件要求</w:t>
            </w:r>
          </w:p>
        </w:tc>
        <w:tc>
          <w:tcPr>
            <w:tcW w:w="621" w:type="dxa"/>
            <w:tcBorders>
              <w:tl2br w:val="nil"/>
              <w:tr2bl w:val="nil"/>
            </w:tcBorders>
            <w:shd w:val="clear" w:color="auto" w:fill="auto"/>
            <w:vAlign w:val="center"/>
          </w:tcPr>
          <w:p w14:paraId="2DD68E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应急处置管理</w:t>
            </w:r>
          </w:p>
        </w:tc>
        <w:tc>
          <w:tcPr>
            <w:tcW w:w="4045" w:type="dxa"/>
            <w:tcBorders>
              <w:tl2br w:val="nil"/>
              <w:tr2bl w:val="nil"/>
            </w:tcBorders>
            <w:shd w:val="clear" w:color="auto" w:fill="auto"/>
            <w:vAlign w:val="center"/>
          </w:tcPr>
          <w:p w14:paraId="41FB81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任务管理支持对应急处置任务新建、修改、删除等综合管理；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任务新建支持普通模式和专家模式，普通模式适合应急处置经验欠缺的普通技术人员使用，专家模式适合具备一定应急处置能力与经验的专家人员使用；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 任务新建支持录入任务名称、任务地点、安全事件等级、接到任务事件、安全事件类别、选择预案、事件描述、任务要求、任务执行人员等信息；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任务新建支持 “安全事件类别”和自动“选择预案”自动判断功能；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任务执行提供应急处置模型流程，将应急处置过程划分为检测、抑制、根除、恢复、跟踪等不同阶段，引导用户操作应急处置步骤。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应急处置模型流程中各处置阶段提供阶段目的、操作指导、工具执行和阶段记录等操作指引；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应急处置模型流程中工具执行支持用户自定义选择添加系统中集成的任意工具；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具备工具结果分析，支持展示应急任务各阶段使用的技术工具结果信息，提供数据和图表两种显示模式；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支持输出WORD、PDF格式的应急处置过程报告；</w:t>
            </w:r>
          </w:p>
        </w:tc>
        <w:tc>
          <w:tcPr>
            <w:tcW w:w="416" w:type="dxa"/>
            <w:vMerge w:val="continue"/>
            <w:tcBorders>
              <w:tl2br w:val="nil"/>
              <w:tr2bl w:val="nil"/>
            </w:tcBorders>
            <w:shd w:val="clear" w:color="auto" w:fill="auto"/>
            <w:vAlign w:val="center"/>
          </w:tcPr>
          <w:p w14:paraId="075AB8E8">
            <w:pPr>
              <w:jc w:val="center"/>
              <w:rPr>
                <w:rFonts w:hint="eastAsia" w:ascii="宋体" w:hAnsi="宋体" w:eastAsia="宋体" w:cs="宋体"/>
                <w:i w:val="0"/>
                <w:iCs w:val="0"/>
                <w:color w:val="000000"/>
                <w:sz w:val="20"/>
                <w:szCs w:val="20"/>
                <w:u w:val="none"/>
              </w:rPr>
            </w:pPr>
          </w:p>
        </w:tc>
        <w:tc>
          <w:tcPr>
            <w:tcW w:w="638" w:type="dxa"/>
            <w:vMerge w:val="continue"/>
            <w:tcBorders>
              <w:tl2br w:val="nil"/>
              <w:tr2bl w:val="nil"/>
            </w:tcBorders>
            <w:shd w:val="clear" w:color="auto" w:fill="auto"/>
            <w:vAlign w:val="center"/>
          </w:tcPr>
          <w:p w14:paraId="205E2C7D">
            <w:pPr>
              <w:jc w:val="center"/>
              <w:rPr>
                <w:rFonts w:hint="eastAsia" w:ascii="宋体" w:hAnsi="宋体" w:eastAsia="宋体" w:cs="宋体"/>
                <w:i w:val="0"/>
                <w:iCs w:val="0"/>
                <w:color w:val="000000"/>
                <w:sz w:val="20"/>
                <w:szCs w:val="20"/>
                <w:u w:val="none"/>
              </w:rPr>
            </w:pPr>
          </w:p>
        </w:tc>
        <w:tc>
          <w:tcPr>
            <w:tcW w:w="879" w:type="dxa"/>
            <w:vMerge w:val="continue"/>
            <w:tcBorders>
              <w:tl2br w:val="nil"/>
              <w:tr2bl w:val="nil"/>
            </w:tcBorders>
            <w:shd w:val="clear" w:color="auto" w:fill="auto"/>
            <w:vAlign w:val="center"/>
          </w:tcPr>
          <w:p w14:paraId="3F5C5953">
            <w:pPr>
              <w:jc w:val="center"/>
              <w:rPr>
                <w:rFonts w:hint="eastAsia" w:ascii="宋体" w:hAnsi="宋体" w:eastAsia="宋体" w:cs="宋体"/>
                <w:i w:val="0"/>
                <w:iCs w:val="0"/>
                <w:color w:val="000000"/>
                <w:sz w:val="20"/>
                <w:szCs w:val="20"/>
                <w:u w:val="none"/>
              </w:rPr>
            </w:pPr>
          </w:p>
        </w:tc>
        <w:tc>
          <w:tcPr>
            <w:tcW w:w="900" w:type="dxa"/>
            <w:vMerge w:val="continue"/>
            <w:tcBorders>
              <w:tl2br w:val="nil"/>
              <w:tr2bl w:val="nil"/>
            </w:tcBorders>
            <w:shd w:val="clear" w:color="auto" w:fill="auto"/>
            <w:vAlign w:val="center"/>
          </w:tcPr>
          <w:p w14:paraId="2DE69FDD">
            <w:pPr>
              <w:jc w:val="center"/>
              <w:rPr>
                <w:rFonts w:hint="eastAsia" w:ascii="宋体" w:hAnsi="宋体" w:eastAsia="宋体" w:cs="宋体"/>
                <w:i w:val="0"/>
                <w:iCs w:val="0"/>
                <w:color w:val="000000"/>
                <w:sz w:val="20"/>
                <w:szCs w:val="20"/>
                <w:u w:val="none"/>
              </w:rPr>
            </w:pPr>
          </w:p>
        </w:tc>
        <w:tc>
          <w:tcPr>
            <w:tcW w:w="644" w:type="dxa"/>
            <w:vMerge w:val="continue"/>
            <w:tcBorders>
              <w:tl2br w:val="nil"/>
              <w:tr2bl w:val="nil"/>
            </w:tcBorders>
            <w:shd w:val="clear" w:color="auto" w:fill="auto"/>
            <w:vAlign w:val="center"/>
          </w:tcPr>
          <w:p w14:paraId="690305D2">
            <w:pPr>
              <w:jc w:val="center"/>
              <w:rPr>
                <w:rFonts w:hint="eastAsia" w:ascii="宋体" w:hAnsi="宋体" w:eastAsia="宋体" w:cs="宋体"/>
                <w:i w:val="0"/>
                <w:iCs w:val="0"/>
                <w:color w:val="000000"/>
                <w:sz w:val="20"/>
                <w:szCs w:val="20"/>
                <w:u w:val="none"/>
              </w:rPr>
            </w:pPr>
          </w:p>
        </w:tc>
      </w:tr>
      <w:tr w14:paraId="304FE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20" w:hRule="atLeast"/>
        </w:trPr>
        <w:tc>
          <w:tcPr>
            <w:tcW w:w="450" w:type="dxa"/>
            <w:vMerge w:val="continue"/>
            <w:tcBorders>
              <w:tl2br w:val="nil"/>
              <w:tr2bl w:val="nil"/>
            </w:tcBorders>
            <w:shd w:val="clear" w:color="auto" w:fill="auto"/>
            <w:vAlign w:val="center"/>
          </w:tcPr>
          <w:p w14:paraId="23C5B03C">
            <w:pPr>
              <w:jc w:val="center"/>
              <w:rPr>
                <w:rFonts w:hint="eastAsia" w:ascii="宋体" w:hAnsi="宋体" w:eastAsia="宋体" w:cs="宋体"/>
                <w:i w:val="0"/>
                <w:iCs w:val="0"/>
                <w:color w:val="000000"/>
                <w:sz w:val="20"/>
                <w:szCs w:val="20"/>
                <w:u w:val="none"/>
              </w:rPr>
            </w:pPr>
          </w:p>
        </w:tc>
        <w:tc>
          <w:tcPr>
            <w:tcW w:w="643" w:type="dxa"/>
            <w:vMerge w:val="continue"/>
            <w:tcBorders>
              <w:tl2br w:val="nil"/>
              <w:tr2bl w:val="nil"/>
            </w:tcBorders>
            <w:shd w:val="clear" w:color="auto" w:fill="auto"/>
            <w:vAlign w:val="center"/>
          </w:tcPr>
          <w:p w14:paraId="736CAC57">
            <w:pPr>
              <w:jc w:val="center"/>
              <w:rPr>
                <w:rFonts w:hint="eastAsia" w:ascii="宋体" w:hAnsi="宋体" w:eastAsia="宋体" w:cs="宋体"/>
                <w:i w:val="0"/>
                <w:iCs w:val="0"/>
                <w:color w:val="000000"/>
                <w:sz w:val="20"/>
                <w:szCs w:val="20"/>
                <w:u w:val="none"/>
              </w:rPr>
            </w:pPr>
          </w:p>
        </w:tc>
        <w:tc>
          <w:tcPr>
            <w:tcW w:w="729" w:type="dxa"/>
            <w:vMerge w:val="continue"/>
            <w:tcBorders>
              <w:tl2br w:val="nil"/>
              <w:tr2bl w:val="nil"/>
            </w:tcBorders>
            <w:shd w:val="clear" w:color="auto" w:fill="auto"/>
            <w:vAlign w:val="center"/>
          </w:tcPr>
          <w:p w14:paraId="52B820BD">
            <w:pPr>
              <w:jc w:val="center"/>
              <w:rPr>
                <w:rFonts w:hint="eastAsia" w:ascii="宋体" w:hAnsi="宋体" w:eastAsia="宋体" w:cs="宋体"/>
                <w:i w:val="0"/>
                <w:iCs w:val="0"/>
                <w:color w:val="000000"/>
                <w:sz w:val="20"/>
                <w:szCs w:val="20"/>
                <w:u w:val="none"/>
              </w:rPr>
            </w:pPr>
          </w:p>
        </w:tc>
        <w:tc>
          <w:tcPr>
            <w:tcW w:w="621" w:type="dxa"/>
            <w:tcBorders>
              <w:tl2br w:val="nil"/>
              <w:tr2bl w:val="nil"/>
            </w:tcBorders>
            <w:shd w:val="clear" w:color="auto" w:fill="auto"/>
            <w:noWrap/>
            <w:vAlign w:val="bottom"/>
          </w:tcPr>
          <w:p w14:paraId="7894806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调查处置管理</w:t>
            </w:r>
          </w:p>
        </w:tc>
        <w:tc>
          <w:tcPr>
            <w:tcW w:w="4045" w:type="dxa"/>
            <w:tcBorders>
              <w:tl2br w:val="nil"/>
              <w:tr2bl w:val="nil"/>
            </w:tcBorders>
            <w:shd w:val="clear" w:color="auto" w:fill="auto"/>
            <w:vAlign w:val="center"/>
          </w:tcPr>
          <w:p w14:paraId="2FD2FB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支持应急调查处置任务创建、修改、删除和列表展示等管理功能；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支持填报和输出5中调查处置任务报告，分别是《信息系统资产名单》、《网络安全事件上报表》、《网络安全事件备案表》、《网络安全事件现场调查表》、《第三方网络安全事件分析表》；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调查处置报表输出支持WORD、PDF、html、xml等格式；</w:t>
            </w:r>
          </w:p>
        </w:tc>
        <w:tc>
          <w:tcPr>
            <w:tcW w:w="416" w:type="dxa"/>
            <w:vMerge w:val="continue"/>
            <w:tcBorders>
              <w:tl2br w:val="nil"/>
              <w:tr2bl w:val="nil"/>
            </w:tcBorders>
            <w:shd w:val="clear" w:color="auto" w:fill="auto"/>
            <w:vAlign w:val="center"/>
          </w:tcPr>
          <w:p w14:paraId="7C66193D">
            <w:pPr>
              <w:jc w:val="center"/>
              <w:rPr>
                <w:rFonts w:hint="eastAsia" w:ascii="宋体" w:hAnsi="宋体" w:eastAsia="宋体" w:cs="宋体"/>
                <w:i w:val="0"/>
                <w:iCs w:val="0"/>
                <w:color w:val="000000"/>
                <w:sz w:val="20"/>
                <w:szCs w:val="20"/>
                <w:u w:val="none"/>
              </w:rPr>
            </w:pPr>
          </w:p>
        </w:tc>
        <w:tc>
          <w:tcPr>
            <w:tcW w:w="638" w:type="dxa"/>
            <w:vMerge w:val="continue"/>
            <w:tcBorders>
              <w:tl2br w:val="nil"/>
              <w:tr2bl w:val="nil"/>
            </w:tcBorders>
            <w:shd w:val="clear" w:color="auto" w:fill="auto"/>
            <w:vAlign w:val="center"/>
          </w:tcPr>
          <w:p w14:paraId="28D072AD">
            <w:pPr>
              <w:jc w:val="center"/>
              <w:rPr>
                <w:rFonts w:hint="eastAsia" w:ascii="宋体" w:hAnsi="宋体" w:eastAsia="宋体" w:cs="宋体"/>
                <w:i w:val="0"/>
                <w:iCs w:val="0"/>
                <w:color w:val="000000"/>
                <w:sz w:val="20"/>
                <w:szCs w:val="20"/>
                <w:u w:val="none"/>
              </w:rPr>
            </w:pPr>
          </w:p>
        </w:tc>
        <w:tc>
          <w:tcPr>
            <w:tcW w:w="879" w:type="dxa"/>
            <w:vMerge w:val="continue"/>
            <w:tcBorders>
              <w:tl2br w:val="nil"/>
              <w:tr2bl w:val="nil"/>
            </w:tcBorders>
            <w:shd w:val="clear" w:color="auto" w:fill="auto"/>
            <w:vAlign w:val="center"/>
          </w:tcPr>
          <w:p w14:paraId="316CAD73">
            <w:pPr>
              <w:jc w:val="center"/>
              <w:rPr>
                <w:rFonts w:hint="eastAsia" w:ascii="宋体" w:hAnsi="宋体" w:eastAsia="宋体" w:cs="宋体"/>
                <w:i w:val="0"/>
                <w:iCs w:val="0"/>
                <w:color w:val="000000"/>
                <w:sz w:val="20"/>
                <w:szCs w:val="20"/>
                <w:u w:val="none"/>
              </w:rPr>
            </w:pPr>
          </w:p>
        </w:tc>
        <w:tc>
          <w:tcPr>
            <w:tcW w:w="900" w:type="dxa"/>
            <w:vMerge w:val="continue"/>
            <w:tcBorders>
              <w:tl2br w:val="nil"/>
              <w:tr2bl w:val="nil"/>
            </w:tcBorders>
            <w:shd w:val="clear" w:color="auto" w:fill="auto"/>
            <w:vAlign w:val="center"/>
          </w:tcPr>
          <w:p w14:paraId="634C12EC">
            <w:pPr>
              <w:jc w:val="center"/>
              <w:rPr>
                <w:rFonts w:hint="eastAsia" w:ascii="宋体" w:hAnsi="宋体" w:eastAsia="宋体" w:cs="宋体"/>
                <w:i w:val="0"/>
                <w:iCs w:val="0"/>
                <w:color w:val="000000"/>
                <w:sz w:val="20"/>
                <w:szCs w:val="20"/>
                <w:u w:val="none"/>
              </w:rPr>
            </w:pPr>
          </w:p>
        </w:tc>
        <w:tc>
          <w:tcPr>
            <w:tcW w:w="644" w:type="dxa"/>
            <w:vMerge w:val="continue"/>
            <w:tcBorders>
              <w:tl2br w:val="nil"/>
              <w:tr2bl w:val="nil"/>
            </w:tcBorders>
            <w:shd w:val="clear" w:color="auto" w:fill="auto"/>
            <w:vAlign w:val="center"/>
          </w:tcPr>
          <w:p w14:paraId="37D2AC5D">
            <w:pPr>
              <w:jc w:val="center"/>
              <w:rPr>
                <w:rFonts w:hint="eastAsia" w:ascii="宋体" w:hAnsi="宋体" w:eastAsia="宋体" w:cs="宋体"/>
                <w:i w:val="0"/>
                <w:iCs w:val="0"/>
                <w:color w:val="000000"/>
                <w:sz w:val="20"/>
                <w:szCs w:val="20"/>
                <w:u w:val="none"/>
              </w:rPr>
            </w:pPr>
          </w:p>
        </w:tc>
      </w:tr>
      <w:tr w14:paraId="41B5B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0" w:hRule="atLeast"/>
        </w:trPr>
        <w:tc>
          <w:tcPr>
            <w:tcW w:w="450" w:type="dxa"/>
            <w:vMerge w:val="continue"/>
            <w:tcBorders>
              <w:tl2br w:val="nil"/>
              <w:tr2bl w:val="nil"/>
            </w:tcBorders>
            <w:shd w:val="clear" w:color="auto" w:fill="auto"/>
            <w:vAlign w:val="center"/>
          </w:tcPr>
          <w:p w14:paraId="46D53509">
            <w:pPr>
              <w:jc w:val="center"/>
              <w:rPr>
                <w:rFonts w:hint="eastAsia" w:ascii="宋体" w:hAnsi="宋体" w:eastAsia="宋体" w:cs="宋体"/>
                <w:i w:val="0"/>
                <w:iCs w:val="0"/>
                <w:color w:val="000000"/>
                <w:sz w:val="20"/>
                <w:szCs w:val="20"/>
                <w:u w:val="none"/>
              </w:rPr>
            </w:pPr>
          </w:p>
        </w:tc>
        <w:tc>
          <w:tcPr>
            <w:tcW w:w="643" w:type="dxa"/>
            <w:vMerge w:val="continue"/>
            <w:tcBorders>
              <w:tl2br w:val="nil"/>
              <w:tr2bl w:val="nil"/>
            </w:tcBorders>
            <w:shd w:val="clear" w:color="auto" w:fill="auto"/>
            <w:vAlign w:val="center"/>
          </w:tcPr>
          <w:p w14:paraId="289C5C1A">
            <w:pPr>
              <w:jc w:val="center"/>
              <w:rPr>
                <w:rFonts w:hint="eastAsia" w:ascii="宋体" w:hAnsi="宋体" w:eastAsia="宋体" w:cs="宋体"/>
                <w:i w:val="0"/>
                <w:iCs w:val="0"/>
                <w:color w:val="000000"/>
                <w:sz w:val="20"/>
                <w:szCs w:val="20"/>
                <w:u w:val="none"/>
              </w:rPr>
            </w:pPr>
          </w:p>
        </w:tc>
        <w:tc>
          <w:tcPr>
            <w:tcW w:w="729" w:type="dxa"/>
            <w:vMerge w:val="continue"/>
            <w:tcBorders>
              <w:tl2br w:val="nil"/>
              <w:tr2bl w:val="nil"/>
            </w:tcBorders>
            <w:shd w:val="clear" w:color="auto" w:fill="auto"/>
            <w:vAlign w:val="center"/>
          </w:tcPr>
          <w:p w14:paraId="62A5169C">
            <w:pPr>
              <w:jc w:val="center"/>
              <w:rPr>
                <w:rFonts w:hint="eastAsia" w:ascii="宋体" w:hAnsi="宋体" w:eastAsia="宋体" w:cs="宋体"/>
                <w:i w:val="0"/>
                <w:iCs w:val="0"/>
                <w:color w:val="000000"/>
                <w:sz w:val="20"/>
                <w:szCs w:val="20"/>
                <w:u w:val="none"/>
              </w:rPr>
            </w:pPr>
          </w:p>
        </w:tc>
        <w:tc>
          <w:tcPr>
            <w:tcW w:w="621" w:type="dxa"/>
            <w:tcBorders>
              <w:tl2br w:val="nil"/>
              <w:tr2bl w:val="nil"/>
            </w:tcBorders>
            <w:shd w:val="clear" w:color="auto" w:fill="auto"/>
            <w:vAlign w:val="center"/>
          </w:tcPr>
          <w:p w14:paraId="11272D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合规检查管理</w:t>
            </w:r>
          </w:p>
        </w:tc>
        <w:tc>
          <w:tcPr>
            <w:tcW w:w="4045" w:type="dxa"/>
            <w:tcBorders>
              <w:tl2br w:val="nil"/>
              <w:tr2bl w:val="nil"/>
            </w:tcBorders>
            <w:shd w:val="clear" w:color="auto" w:fill="auto"/>
            <w:vAlign w:val="center"/>
          </w:tcPr>
          <w:p w14:paraId="5F3D14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支持网络安全合规检查任务创建、修改、删除和列表展示等管理功能；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支持检查指标库管理，检查指标覆盖信息系统检查指标（一级、二级、三级、四级）、工控系统检查指标（一级、二级、三级、四级）、自定义检查指标管理；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自定义检查指标管理支持用户自定义行业网络安全检查指标内容，提供自定义检查表单模版导出和导入，支持对检查指标执行结果的选择项内容进行自定义；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安全合规检查支持根据检查指标内容做访谈填报，检查结果含“是/否/不适用”三种类型；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安全合规检查支持检查指标统计功能，对检查指标总数、已完成、未完成等数量进行统计；</w:t>
            </w:r>
          </w:p>
        </w:tc>
        <w:tc>
          <w:tcPr>
            <w:tcW w:w="416" w:type="dxa"/>
            <w:vMerge w:val="continue"/>
            <w:tcBorders>
              <w:tl2br w:val="nil"/>
              <w:tr2bl w:val="nil"/>
            </w:tcBorders>
            <w:shd w:val="clear" w:color="auto" w:fill="auto"/>
            <w:vAlign w:val="center"/>
          </w:tcPr>
          <w:p w14:paraId="04AE6779">
            <w:pPr>
              <w:jc w:val="center"/>
              <w:rPr>
                <w:rFonts w:hint="eastAsia" w:ascii="宋体" w:hAnsi="宋体" w:eastAsia="宋体" w:cs="宋体"/>
                <w:i w:val="0"/>
                <w:iCs w:val="0"/>
                <w:color w:val="000000"/>
                <w:sz w:val="20"/>
                <w:szCs w:val="20"/>
                <w:u w:val="none"/>
              </w:rPr>
            </w:pPr>
          </w:p>
        </w:tc>
        <w:tc>
          <w:tcPr>
            <w:tcW w:w="638" w:type="dxa"/>
            <w:vMerge w:val="continue"/>
            <w:tcBorders>
              <w:tl2br w:val="nil"/>
              <w:tr2bl w:val="nil"/>
            </w:tcBorders>
            <w:shd w:val="clear" w:color="auto" w:fill="auto"/>
            <w:vAlign w:val="center"/>
          </w:tcPr>
          <w:p w14:paraId="2CC07CA9">
            <w:pPr>
              <w:jc w:val="center"/>
              <w:rPr>
                <w:rFonts w:hint="eastAsia" w:ascii="宋体" w:hAnsi="宋体" w:eastAsia="宋体" w:cs="宋体"/>
                <w:i w:val="0"/>
                <w:iCs w:val="0"/>
                <w:color w:val="000000"/>
                <w:sz w:val="20"/>
                <w:szCs w:val="20"/>
                <w:u w:val="none"/>
              </w:rPr>
            </w:pPr>
          </w:p>
        </w:tc>
        <w:tc>
          <w:tcPr>
            <w:tcW w:w="879" w:type="dxa"/>
            <w:vMerge w:val="continue"/>
            <w:tcBorders>
              <w:tl2br w:val="nil"/>
              <w:tr2bl w:val="nil"/>
            </w:tcBorders>
            <w:shd w:val="clear" w:color="auto" w:fill="auto"/>
            <w:vAlign w:val="center"/>
          </w:tcPr>
          <w:p w14:paraId="1304F09C">
            <w:pPr>
              <w:jc w:val="center"/>
              <w:rPr>
                <w:rFonts w:hint="eastAsia" w:ascii="宋体" w:hAnsi="宋体" w:eastAsia="宋体" w:cs="宋体"/>
                <w:i w:val="0"/>
                <w:iCs w:val="0"/>
                <w:color w:val="000000"/>
                <w:sz w:val="20"/>
                <w:szCs w:val="20"/>
                <w:u w:val="none"/>
              </w:rPr>
            </w:pPr>
          </w:p>
        </w:tc>
        <w:tc>
          <w:tcPr>
            <w:tcW w:w="900" w:type="dxa"/>
            <w:vMerge w:val="continue"/>
            <w:tcBorders>
              <w:tl2br w:val="nil"/>
              <w:tr2bl w:val="nil"/>
            </w:tcBorders>
            <w:shd w:val="clear" w:color="auto" w:fill="auto"/>
            <w:vAlign w:val="center"/>
          </w:tcPr>
          <w:p w14:paraId="71F217E1">
            <w:pPr>
              <w:jc w:val="center"/>
              <w:rPr>
                <w:rFonts w:hint="eastAsia" w:ascii="宋体" w:hAnsi="宋体" w:eastAsia="宋体" w:cs="宋体"/>
                <w:i w:val="0"/>
                <w:iCs w:val="0"/>
                <w:color w:val="000000"/>
                <w:sz w:val="20"/>
                <w:szCs w:val="20"/>
                <w:u w:val="none"/>
              </w:rPr>
            </w:pPr>
          </w:p>
        </w:tc>
        <w:tc>
          <w:tcPr>
            <w:tcW w:w="644" w:type="dxa"/>
            <w:vMerge w:val="continue"/>
            <w:tcBorders>
              <w:tl2br w:val="nil"/>
              <w:tr2bl w:val="nil"/>
            </w:tcBorders>
            <w:shd w:val="clear" w:color="auto" w:fill="auto"/>
            <w:vAlign w:val="center"/>
          </w:tcPr>
          <w:p w14:paraId="7FBABB07">
            <w:pPr>
              <w:jc w:val="center"/>
              <w:rPr>
                <w:rFonts w:hint="eastAsia" w:ascii="宋体" w:hAnsi="宋体" w:eastAsia="宋体" w:cs="宋体"/>
                <w:i w:val="0"/>
                <w:iCs w:val="0"/>
                <w:color w:val="000000"/>
                <w:sz w:val="20"/>
                <w:szCs w:val="20"/>
                <w:u w:val="none"/>
              </w:rPr>
            </w:pPr>
          </w:p>
        </w:tc>
      </w:tr>
      <w:tr w14:paraId="39E65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21" w:hRule="atLeast"/>
        </w:trPr>
        <w:tc>
          <w:tcPr>
            <w:tcW w:w="450" w:type="dxa"/>
            <w:vMerge w:val="continue"/>
            <w:tcBorders>
              <w:tl2br w:val="nil"/>
              <w:tr2bl w:val="nil"/>
            </w:tcBorders>
            <w:shd w:val="clear" w:color="auto" w:fill="auto"/>
            <w:vAlign w:val="center"/>
          </w:tcPr>
          <w:p w14:paraId="18FA48E3">
            <w:pPr>
              <w:jc w:val="center"/>
              <w:rPr>
                <w:rFonts w:hint="eastAsia" w:ascii="宋体" w:hAnsi="宋体" w:eastAsia="宋体" w:cs="宋体"/>
                <w:i w:val="0"/>
                <w:iCs w:val="0"/>
                <w:color w:val="000000"/>
                <w:sz w:val="20"/>
                <w:szCs w:val="20"/>
                <w:u w:val="none"/>
              </w:rPr>
            </w:pPr>
          </w:p>
        </w:tc>
        <w:tc>
          <w:tcPr>
            <w:tcW w:w="643" w:type="dxa"/>
            <w:vMerge w:val="continue"/>
            <w:tcBorders>
              <w:tl2br w:val="nil"/>
              <w:tr2bl w:val="nil"/>
            </w:tcBorders>
            <w:shd w:val="clear" w:color="auto" w:fill="auto"/>
            <w:vAlign w:val="center"/>
          </w:tcPr>
          <w:p w14:paraId="5EDD0838">
            <w:pPr>
              <w:jc w:val="center"/>
              <w:rPr>
                <w:rFonts w:hint="eastAsia" w:ascii="宋体" w:hAnsi="宋体" w:eastAsia="宋体" w:cs="宋体"/>
                <w:i w:val="0"/>
                <w:iCs w:val="0"/>
                <w:color w:val="000000"/>
                <w:sz w:val="20"/>
                <w:szCs w:val="20"/>
                <w:u w:val="none"/>
              </w:rPr>
            </w:pPr>
          </w:p>
        </w:tc>
        <w:tc>
          <w:tcPr>
            <w:tcW w:w="729" w:type="dxa"/>
            <w:vMerge w:val="continue"/>
            <w:tcBorders>
              <w:tl2br w:val="nil"/>
              <w:tr2bl w:val="nil"/>
            </w:tcBorders>
            <w:shd w:val="clear" w:color="auto" w:fill="auto"/>
            <w:vAlign w:val="center"/>
          </w:tcPr>
          <w:p w14:paraId="140B6193">
            <w:pPr>
              <w:jc w:val="center"/>
              <w:rPr>
                <w:rFonts w:hint="eastAsia" w:ascii="宋体" w:hAnsi="宋体" w:eastAsia="宋体" w:cs="宋体"/>
                <w:i w:val="0"/>
                <w:iCs w:val="0"/>
                <w:color w:val="000000"/>
                <w:sz w:val="20"/>
                <w:szCs w:val="20"/>
                <w:u w:val="none"/>
              </w:rPr>
            </w:pPr>
          </w:p>
        </w:tc>
        <w:tc>
          <w:tcPr>
            <w:tcW w:w="621" w:type="dxa"/>
            <w:tcBorders>
              <w:tl2br w:val="nil"/>
              <w:tr2bl w:val="nil"/>
            </w:tcBorders>
            <w:shd w:val="clear" w:color="auto" w:fill="auto"/>
            <w:vAlign w:val="center"/>
          </w:tcPr>
          <w:p w14:paraId="26FD20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异常检测工具库</w:t>
            </w:r>
          </w:p>
        </w:tc>
        <w:tc>
          <w:tcPr>
            <w:tcW w:w="4045" w:type="dxa"/>
            <w:tcBorders>
              <w:tl2br w:val="nil"/>
              <w:tr2bl w:val="nil"/>
            </w:tcBorders>
            <w:shd w:val="clear" w:color="auto" w:fill="auto"/>
            <w:vAlign w:val="center"/>
          </w:tcPr>
          <w:p w14:paraId="1568C7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漏洞扫描工具，支持对windows、Unix、Linux等各版本操作系统、Mysql、Oracle、SQL Server数据库，Apache、IIS等各版本应用服务软件的漏洞进行自动扫描分析；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弱口令检测工具，支持对SMB、MSSQL、FTP、MYSQL、Oracle、RDP、POP3、SSH、HTTP、Telnet、VNC、SysBase等多种应用服务及协议做弱口令检测；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病毒检查工具：支持自动扫描系统关键目录中(例如：system32)所存在的病毒程序，支持快速扫描、全盘扫描和自定义扫描三种模式；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木马检查工具：支持自动扫描系统关键目录中所存在的木马、后门等内容，支持快速扫描、全盘扫描和自定义扫描三种模式；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网站恶意代码检查工具：用于检查WEB服务器目录路径中ASP、ASPX、JSP、PHP、CSS等策略是否感染或存在恶意代码；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Windows主机配置合规检查工具：支持对安装Windows操作系统的主机（终端或服务器）进行安全配置信息自动化采集与合规分析；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Linux主机配置合规检查工具：支持对安装Linuxs操作系统的主机（终端或服务器）进行安全配置信息自动化采集与合规分析；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网络及安全设备配置合规检查工具：支持对网络设备（例如交换机）和安全设备（例如防火墙）设备进行安全配置信息自动化采集与合规性分析；</w:t>
            </w:r>
          </w:p>
        </w:tc>
        <w:tc>
          <w:tcPr>
            <w:tcW w:w="416" w:type="dxa"/>
            <w:vMerge w:val="continue"/>
            <w:tcBorders>
              <w:tl2br w:val="nil"/>
              <w:tr2bl w:val="nil"/>
            </w:tcBorders>
            <w:shd w:val="clear" w:color="auto" w:fill="auto"/>
            <w:vAlign w:val="center"/>
          </w:tcPr>
          <w:p w14:paraId="7108B494">
            <w:pPr>
              <w:jc w:val="center"/>
              <w:rPr>
                <w:rFonts w:hint="eastAsia" w:ascii="宋体" w:hAnsi="宋体" w:eastAsia="宋体" w:cs="宋体"/>
                <w:i w:val="0"/>
                <w:iCs w:val="0"/>
                <w:color w:val="000000"/>
                <w:sz w:val="20"/>
                <w:szCs w:val="20"/>
                <w:u w:val="none"/>
              </w:rPr>
            </w:pPr>
          </w:p>
        </w:tc>
        <w:tc>
          <w:tcPr>
            <w:tcW w:w="638" w:type="dxa"/>
            <w:vMerge w:val="continue"/>
            <w:tcBorders>
              <w:tl2br w:val="nil"/>
              <w:tr2bl w:val="nil"/>
            </w:tcBorders>
            <w:shd w:val="clear" w:color="auto" w:fill="auto"/>
            <w:vAlign w:val="center"/>
          </w:tcPr>
          <w:p w14:paraId="3A98ACFD">
            <w:pPr>
              <w:jc w:val="center"/>
              <w:rPr>
                <w:rFonts w:hint="eastAsia" w:ascii="宋体" w:hAnsi="宋体" w:eastAsia="宋体" w:cs="宋体"/>
                <w:i w:val="0"/>
                <w:iCs w:val="0"/>
                <w:color w:val="000000"/>
                <w:sz w:val="20"/>
                <w:szCs w:val="20"/>
                <w:u w:val="none"/>
              </w:rPr>
            </w:pPr>
          </w:p>
        </w:tc>
        <w:tc>
          <w:tcPr>
            <w:tcW w:w="879" w:type="dxa"/>
            <w:vMerge w:val="continue"/>
            <w:tcBorders>
              <w:tl2br w:val="nil"/>
              <w:tr2bl w:val="nil"/>
            </w:tcBorders>
            <w:shd w:val="clear" w:color="auto" w:fill="auto"/>
            <w:vAlign w:val="center"/>
          </w:tcPr>
          <w:p w14:paraId="4403A236">
            <w:pPr>
              <w:jc w:val="center"/>
              <w:rPr>
                <w:rFonts w:hint="eastAsia" w:ascii="宋体" w:hAnsi="宋体" w:eastAsia="宋体" w:cs="宋体"/>
                <w:i w:val="0"/>
                <w:iCs w:val="0"/>
                <w:color w:val="000000"/>
                <w:sz w:val="20"/>
                <w:szCs w:val="20"/>
                <w:u w:val="none"/>
              </w:rPr>
            </w:pPr>
          </w:p>
        </w:tc>
        <w:tc>
          <w:tcPr>
            <w:tcW w:w="900" w:type="dxa"/>
            <w:vMerge w:val="continue"/>
            <w:tcBorders>
              <w:tl2br w:val="nil"/>
              <w:tr2bl w:val="nil"/>
            </w:tcBorders>
            <w:shd w:val="clear" w:color="auto" w:fill="auto"/>
            <w:vAlign w:val="center"/>
          </w:tcPr>
          <w:p w14:paraId="4FC50685">
            <w:pPr>
              <w:jc w:val="center"/>
              <w:rPr>
                <w:rFonts w:hint="eastAsia" w:ascii="宋体" w:hAnsi="宋体" w:eastAsia="宋体" w:cs="宋体"/>
                <w:i w:val="0"/>
                <w:iCs w:val="0"/>
                <w:color w:val="000000"/>
                <w:sz w:val="20"/>
                <w:szCs w:val="20"/>
                <w:u w:val="none"/>
              </w:rPr>
            </w:pPr>
          </w:p>
        </w:tc>
        <w:tc>
          <w:tcPr>
            <w:tcW w:w="644" w:type="dxa"/>
            <w:vMerge w:val="continue"/>
            <w:tcBorders>
              <w:tl2br w:val="nil"/>
              <w:tr2bl w:val="nil"/>
            </w:tcBorders>
            <w:shd w:val="clear" w:color="auto" w:fill="auto"/>
            <w:vAlign w:val="center"/>
          </w:tcPr>
          <w:p w14:paraId="508F95C4">
            <w:pPr>
              <w:jc w:val="center"/>
              <w:rPr>
                <w:rFonts w:hint="eastAsia" w:ascii="宋体" w:hAnsi="宋体" w:eastAsia="宋体" w:cs="宋体"/>
                <w:i w:val="0"/>
                <w:iCs w:val="0"/>
                <w:color w:val="000000"/>
                <w:sz w:val="20"/>
                <w:szCs w:val="20"/>
                <w:u w:val="none"/>
              </w:rPr>
            </w:pPr>
          </w:p>
        </w:tc>
      </w:tr>
      <w:tr w14:paraId="1A3E8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60" w:hRule="atLeast"/>
        </w:trPr>
        <w:tc>
          <w:tcPr>
            <w:tcW w:w="450" w:type="dxa"/>
            <w:vMerge w:val="continue"/>
            <w:tcBorders>
              <w:tl2br w:val="nil"/>
              <w:tr2bl w:val="nil"/>
            </w:tcBorders>
            <w:shd w:val="clear" w:color="auto" w:fill="auto"/>
            <w:vAlign w:val="center"/>
          </w:tcPr>
          <w:p w14:paraId="64D9F038">
            <w:pPr>
              <w:jc w:val="center"/>
              <w:rPr>
                <w:rFonts w:hint="eastAsia" w:ascii="宋体" w:hAnsi="宋体" w:eastAsia="宋体" w:cs="宋体"/>
                <w:i w:val="0"/>
                <w:iCs w:val="0"/>
                <w:color w:val="000000"/>
                <w:sz w:val="20"/>
                <w:szCs w:val="20"/>
                <w:u w:val="none"/>
              </w:rPr>
            </w:pPr>
          </w:p>
        </w:tc>
        <w:tc>
          <w:tcPr>
            <w:tcW w:w="643" w:type="dxa"/>
            <w:vMerge w:val="continue"/>
            <w:tcBorders>
              <w:tl2br w:val="nil"/>
              <w:tr2bl w:val="nil"/>
            </w:tcBorders>
            <w:shd w:val="clear" w:color="auto" w:fill="auto"/>
            <w:vAlign w:val="center"/>
          </w:tcPr>
          <w:p w14:paraId="475677A1">
            <w:pPr>
              <w:jc w:val="center"/>
              <w:rPr>
                <w:rFonts w:hint="eastAsia" w:ascii="宋体" w:hAnsi="宋体" w:eastAsia="宋体" w:cs="宋体"/>
                <w:i w:val="0"/>
                <w:iCs w:val="0"/>
                <w:color w:val="000000"/>
                <w:sz w:val="20"/>
                <w:szCs w:val="20"/>
                <w:u w:val="none"/>
              </w:rPr>
            </w:pPr>
          </w:p>
        </w:tc>
        <w:tc>
          <w:tcPr>
            <w:tcW w:w="729" w:type="dxa"/>
            <w:vMerge w:val="continue"/>
            <w:tcBorders>
              <w:tl2br w:val="nil"/>
              <w:tr2bl w:val="nil"/>
            </w:tcBorders>
            <w:shd w:val="clear" w:color="auto" w:fill="auto"/>
            <w:vAlign w:val="center"/>
          </w:tcPr>
          <w:p w14:paraId="6623D40D">
            <w:pPr>
              <w:jc w:val="center"/>
              <w:rPr>
                <w:rFonts w:hint="eastAsia" w:ascii="宋体" w:hAnsi="宋体" w:eastAsia="宋体" w:cs="宋体"/>
                <w:i w:val="0"/>
                <w:iCs w:val="0"/>
                <w:color w:val="000000"/>
                <w:sz w:val="20"/>
                <w:szCs w:val="20"/>
                <w:u w:val="none"/>
              </w:rPr>
            </w:pPr>
          </w:p>
        </w:tc>
        <w:tc>
          <w:tcPr>
            <w:tcW w:w="621" w:type="dxa"/>
            <w:tcBorders>
              <w:tl2br w:val="nil"/>
              <w:tr2bl w:val="nil"/>
            </w:tcBorders>
            <w:shd w:val="clear" w:color="auto" w:fill="auto"/>
            <w:vAlign w:val="center"/>
          </w:tcPr>
          <w:p w14:paraId="5169DC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应急工具库</w:t>
            </w:r>
          </w:p>
        </w:tc>
        <w:tc>
          <w:tcPr>
            <w:tcW w:w="4045" w:type="dxa"/>
            <w:tcBorders>
              <w:tl2br w:val="nil"/>
              <w:tr2bl w:val="nil"/>
            </w:tcBorders>
            <w:shd w:val="clear" w:color="auto" w:fill="auto"/>
            <w:vAlign w:val="center"/>
          </w:tcPr>
          <w:p w14:paraId="52ABFE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Windows主机配置加固工具：支持对主流Windows操作系统、服务应用（IIS、tomcat），数据库（Oracle、MySQL、sqlserver、达梦、人大金仓、神州通用）进行安全配置自动加固；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Linux主机配置加固工具：支持对主流Linux操作系统、服务应用（tomcat）、数据库（oracle、mysql）进行安全配置自动加固；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系统备份恢复工具：支持对安装主流操作系统（windows、Unix、Linux）的主机进行系统镜像备份，同时也支持通过硬盘镜像方式对目标主机进行系统快速恢复；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日志提取工具：支持主流操作系统（Windows、linux、Unix、中标麒麟等）、数据库（MySQL，Oracle，SQLserve、金仓、达梦、神州等）、应用服务软件（Apache、IIS等）的进程/服务运行日志、操作系统日志、数据库日志、网络访问日志等进行提取。</w:t>
            </w:r>
          </w:p>
        </w:tc>
        <w:tc>
          <w:tcPr>
            <w:tcW w:w="416" w:type="dxa"/>
            <w:vMerge w:val="continue"/>
            <w:tcBorders>
              <w:tl2br w:val="nil"/>
              <w:tr2bl w:val="nil"/>
            </w:tcBorders>
            <w:shd w:val="clear" w:color="auto" w:fill="auto"/>
            <w:vAlign w:val="center"/>
          </w:tcPr>
          <w:p w14:paraId="7AF7EF20">
            <w:pPr>
              <w:jc w:val="center"/>
              <w:rPr>
                <w:rFonts w:hint="eastAsia" w:ascii="宋体" w:hAnsi="宋体" w:eastAsia="宋体" w:cs="宋体"/>
                <w:i w:val="0"/>
                <w:iCs w:val="0"/>
                <w:color w:val="000000"/>
                <w:sz w:val="20"/>
                <w:szCs w:val="20"/>
                <w:u w:val="none"/>
              </w:rPr>
            </w:pPr>
          </w:p>
        </w:tc>
        <w:tc>
          <w:tcPr>
            <w:tcW w:w="638" w:type="dxa"/>
            <w:vMerge w:val="continue"/>
            <w:tcBorders>
              <w:tl2br w:val="nil"/>
              <w:tr2bl w:val="nil"/>
            </w:tcBorders>
            <w:shd w:val="clear" w:color="auto" w:fill="auto"/>
            <w:vAlign w:val="center"/>
          </w:tcPr>
          <w:p w14:paraId="2586474C">
            <w:pPr>
              <w:jc w:val="center"/>
              <w:rPr>
                <w:rFonts w:hint="eastAsia" w:ascii="宋体" w:hAnsi="宋体" w:eastAsia="宋体" w:cs="宋体"/>
                <w:i w:val="0"/>
                <w:iCs w:val="0"/>
                <w:color w:val="000000"/>
                <w:sz w:val="20"/>
                <w:szCs w:val="20"/>
                <w:u w:val="none"/>
              </w:rPr>
            </w:pPr>
          </w:p>
        </w:tc>
        <w:tc>
          <w:tcPr>
            <w:tcW w:w="879" w:type="dxa"/>
            <w:vMerge w:val="continue"/>
            <w:tcBorders>
              <w:tl2br w:val="nil"/>
              <w:tr2bl w:val="nil"/>
            </w:tcBorders>
            <w:shd w:val="clear" w:color="auto" w:fill="auto"/>
            <w:vAlign w:val="center"/>
          </w:tcPr>
          <w:p w14:paraId="642C45A2">
            <w:pPr>
              <w:jc w:val="center"/>
              <w:rPr>
                <w:rFonts w:hint="eastAsia" w:ascii="宋体" w:hAnsi="宋体" w:eastAsia="宋体" w:cs="宋体"/>
                <w:i w:val="0"/>
                <w:iCs w:val="0"/>
                <w:color w:val="000000"/>
                <w:sz w:val="20"/>
                <w:szCs w:val="20"/>
                <w:u w:val="none"/>
              </w:rPr>
            </w:pPr>
          </w:p>
        </w:tc>
        <w:tc>
          <w:tcPr>
            <w:tcW w:w="900" w:type="dxa"/>
            <w:vMerge w:val="continue"/>
            <w:tcBorders>
              <w:tl2br w:val="nil"/>
              <w:tr2bl w:val="nil"/>
            </w:tcBorders>
            <w:shd w:val="clear" w:color="auto" w:fill="auto"/>
            <w:vAlign w:val="center"/>
          </w:tcPr>
          <w:p w14:paraId="7FF49B94">
            <w:pPr>
              <w:jc w:val="center"/>
              <w:rPr>
                <w:rFonts w:hint="eastAsia" w:ascii="宋体" w:hAnsi="宋体" w:eastAsia="宋体" w:cs="宋体"/>
                <w:i w:val="0"/>
                <w:iCs w:val="0"/>
                <w:color w:val="000000"/>
                <w:sz w:val="20"/>
                <w:szCs w:val="20"/>
                <w:u w:val="none"/>
              </w:rPr>
            </w:pPr>
          </w:p>
        </w:tc>
        <w:tc>
          <w:tcPr>
            <w:tcW w:w="644" w:type="dxa"/>
            <w:vMerge w:val="continue"/>
            <w:tcBorders>
              <w:tl2br w:val="nil"/>
              <w:tr2bl w:val="nil"/>
            </w:tcBorders>
            <w:shd w:val="clear" w:color="auto" w:fill="auto"/>
            <w:vAlign w:val="center"/>
          </w:tcPr>
          <w:p w14:paraId="00035959">
            <w:pPr>
              <w:jc w:val="center"/>
              <w:rPr>
                <w:rFonts w:hint="eastAsia" w:ascii="宋体" w:hAnsi="宋体" w:eastAsia="宋体" w:cs="宋体"/>
                <w:i w:val="0"/>
                <w:iCs w:val="0"/>
                <w:color w:val="000000"/>
                <w:sz w:val="20"/>
                <w:szCs w:val="20"/>
                <w:u w:val="none"/>
              </w:rPr>
            </w:pPr>
          </w:p>
        </w:tc>
      </w:tr>
      <w:tr w14:paraId="5D2B5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0" w:hRule="atLeast"/>
        </w:trPr>
        <w:tc>
          <w:tcPr>
            <w:tcW w:w="450" w:type="dxa"/>
            <w:vMerge w:val="continue"/>
            <w:tcBorders>
              <w:tl2br w:val="nil"/>
              <w:tr2bl w:val="nil"/>
            </w:tcBorders>
            <w:shd w:val="clear" w:color="auto" w:fill="auto"/>
            <w:vAlign w:val="center"/>
          </w:tcPr>
          <w:p w14:paraId="21A1CF74">
            <w:pPr>
              <w:jc w:val="center"/>
              <w:rPr>
                <w:rFonts w:hint="eastAsia" w:ascii="宋体" w:hAnsi="宋体" w:eastAsia="宋体" w:cs="宋体"/>
                <w:i w:val="0"/>
                <w:iCs w:val="0"/>
                <w:color w:val="000000"/>
                <w:sz w:val="20"/>
                <w:szCs w:val="20"/>
                <w:u w:val="none"/>
              </w:rPr>
            </w:pPr>
          </w:p>
        </w:tc>
        <w:tc>
          <w:tcPr>
            <w:tcW w:w="643" w:type="dxa"/>
            <w:vMerge w:val="continue"/>
            <w:tcBorders>
              <w:tl2br w:val="nil"/>
              <w:tr2bl w:val="nil"/>
            </w:tcBorders>
            <w:shd w:val="clear" w:color="auto" w:fill="auto"/>
            <w:vAlign w:val="center"/>
          </w:tcPr>
          <w:p w14:paraId="585C0980">
            <w:pPr>
              <w:jc w:val="center"/>
              <w:rPr>
                <w:rFonts w:hint="eastAsia" w:ascii="宋体" w:hAnsi="宋体" w:eastAsia="宋体" w:cs="宋体"/>
                <w:i w:val="0"/>
                <w:iCs w:val="0"/>
                <w:color w:val="000000"/>
                <w:sz w:val="20"/>
                <w:szCs w:val="20"/>
                <w:u w:val="none"/>
              </w:rPr>
            </w:pPr>
          </w:p>
        </w:tc>
        <w:tc>
          <w:tcPr>
            <w:tcW w:w="729" w:type="dxa"/>
            <w:vMerge w:val="continue"/>
            <w:tcBorders>
              <w:tl2br w:val="nil"/>
              <w:tr2bl w:val="nil"/>
            </w:tcBorders>
            <w:shd w:val="clear" w:color="auto" w:fill="auto"/>
            <w:vAlign w:val="center"/>
          </w:tcPr>
          <w:p w14:paraId="22AACF17">
            <w:pPr>
              <w:jc w:val="center"/>
              <w:rPr>
                <w:rFonts w:hint="eastAsia" w:ascii="宋体" w:hAnsi="宋体" w:eastAsia="宋体" w:cs="宋体"/>
                <w:i w:val="0"/>
                <w:iCs w:val="0"/>
                <w:color w:val="000000"/>
                <w:sz w:val="20"/>
                <w:szCs w:val="20"/>
                <w:u w:val="none"/>
              </w:rPr>
            </w:pPr>
          </w:p>
        </w:tc>
        <w:tc>
          <w:tcPr>
            <w:tcW w:w="621" w:type="dxa"/>
            <w:tcBorders>
              <w:tl2br w:val="nil"/>
              <w:tr2bl w:val="nil"/>
            </w:tcBorders>
            <w:shd w:val="clear" w:color="auto" w:fill="auto"/>
            <w:vAlign w:val="center"/>
          </w:tcPr>
          <w:p w14:paraId="4DA6AF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专家知识库</w:t>
            </w:r>
          </w:p>
        </w:tc>
        <w:tc>
          <w:tcPr>
            <w:tcW w:w="4045" w:type="dxa"/>
            <w:tcBorders>
              <w:tl2br w:val="nil"/>
              <w:tr2bl w:val="nil"/>
            </w:tcBorders>
            <w:shd w:val="clear" w:color="auto" w:fill="auto"/>
            <w:vAlign w:val="center"/>
          </w:tcPr>
          <w:p w14:paraId="4477D1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支持漏洞库管理，可根据漏洞名称、漏洞编号等有效关键字搜索和查看对应的漏洞详情信息。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支持安全知识管理，安全知识包含常用命令、小技巧、其他网络安全知识等，满足用户不同场景下对应急处置安全知识的快速搜索和展示。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支持应急预案管理，提供多种网络安全突发事件（攻击类、入侵、恶意代码等）的应急处置预案，为不同事件场景提供应急处置方法。</w:t>
            </w:r>
          </w:p>
        </w:tc>
        <w:tc>
          <w:tcPr>
            <w:tcW w:w="416" w:type="dxa"/>
            <w:vMerge w:val="continue"/>
            <w:tcBorders>
              <w:tl2br w:val="nil"/>
              <w:tr2bl w:val="nil"/>
            </w:tcBorders>
            <w:shd w:val="clear" w:color="auto" w:fill="auto"/>
            <w:vAlign w:val="center"/>
          </w:tcPr>
          <w:p w14:paraId="221D5F74">
            <w:pPr>
              <w:jc w:val="center"/>
              <w:rPr>
                <w:rFonts w:hint="eastAsia" w:ascii="宋体" w:hAnsi="宋体" w:eastAsia="宋体" w:cs="宋体"/>
                <w:i w:val="0"/>
                <w:iCs w:val="0"/>
                <w:color w:val="000000"/>
                <w:sz w:val="20"/>
                <w:szCs w:val="20"/>
                <w:u w:val="none"/>
              </w:rPr>
            </w:pPr>
          </w:p>
        </w:tc>
        <w:tc>
          <w:tcPr>
            <w:tcW w:w="638" w:type="dxa"/>
            <w:vMerge w:val="continue"/>
            <w:tcBorders>
              <w:tl2br w:val="nil"/>
              <w:tr2bl w:val="nil"/>
            </w:tcBorders>
            <w:shd w:val="clear" w:color="auto" w:fill="auto"/>
            <w:vAlign w:val="center"/>
          </w:tcPr>
          <w:p w14:paraId="3EEEFBDE">
            <w:pPr>
              <w:jc w:val="center"/>
              <w:rPr>
                <w:rFonts w:hint="eastAsia" w:ascii="宋体" w:hAnsi="宋体" w:eastAsia="宋体" w:cs="宋体"/>
                <w:i w:val="0"/>
                <w:iCs w:val="0"/>
                <w:color w:val="000000"/>
                <w:sz w:val="20"/>
                <w:szCs w:val="20"/>
                <w:u w:val="none"/>
              </w:rPr>
            </w:pPr>
          </w:p>
        </w:tc>
        <w:tc>
          <w:tcPr>
            <w:tcW w:w="879" w:type="dxa"/>
            <w:vMerge w:val="continue"/>
            <w:tcBorders>
              <w:tl2br w:val="nil"/>
              <w:tr2bl w:val="nil"/>
            </w:tcBorders>
            <w:shd w:val="clear" w:color="auto" w:fill="auto"/>
            <w:vAlign w:val="center"/>
          </w:tcPr>
          <w:p w14:paraId="2E9F2287">
            <w:pPr>
              <w:jc w:val="center"/>
              <w:rPr>
                <w:rFonts w:hint="eastAsia" w:ascii="宋体" w:hAnsi="宋体" w:eastAsia="宋体" w:cs="宋体"/>
                <w:i w:val="0"/>
                <w:iCs w:val="0"/>
                <w:color w:val="000000"/>
                <w:sz w:val="20"/>
                <w:szCs w:val="20"/>
                <w:u w:val="none"/>
              </w:rPr>
            </w:pPr>
          </w:p>
        </w:tc>
        <w:tc>
          <w:tcPr>
            <w:tcW w:w="900" w:type="dxa"/>
            <w:vMerge w:val="continue"/>
            <w:tcBorders>
              <w:tl2br w:val="nil"/>
              <w:tr2bl w:val="nil"/>
            </w:tcBorders>
            <w:shd w:val="clear" w:color="auto" w:fill="auto"/>
            <w:vAlign w:val="center"/>
          </w:tcPr>
          <w:p w14:paraId="0BED96B6">
            <w:pPr>
              <w:jc w:val="center"/>
              <w:rPr>
                <w:rFonts w:hint="eastAsia" w:ascii="宋体" w:hAnsi="宋体" w:eastAsia="宋体" w:cs="宋体"/>
                <w:i w:val="0"/>
                <w:iCs w:val="0"/>
                <w:color w:val="000000"/>
                <w:sz w:val="20"/>
                <w:szCs w:val="20"/>
                <w:u w:val="none"/>
              </w:rPr>
            </w:pPr>
          </w:p>
        </w:tc>
        <w:tc>
          <w:tcPr>
            <w:tcW w:w="644" w:type="dxa"/>
            <w:vMerge w:val="continue"/>
            <w:tcBorders>
              <w:tl2br w:val="nil"/>
              <w:tr2bl w:val="nil"/>
            </w:tcBorders>
            <w:shd w:val="clear" w:color="auto" w:fill="auto"/>
            <w:vAlign w:val="center"/>
          </w:tcPr>
          <w:p w14:paraId="7455A8AD">
            <w:pPr>
              <w:jc w:val="center"/>
              <w:rPr>
                <w:rFonts w:hint="eastAsia" w:ascii="宋体" w:hAnsi="宋体" w:eastAsia="宋体" w:cs="宋体"/>
                <w:i w:val="0"/>
                <w:iCs w:val="0"/>
                <w:color w:val="000000"/>
                <w:sz w:val="20"/>
                <w:szCs w:val="20"/>
                <w:u w:val="none"/>
              </w:rPr>
            </w:pPr>
          </w:p>
        </w:tc>
      </w:tr>
      <w:tr w14:paraId="30E32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450" w:type="dxa"/>
            <w:vMerge w:val="continue"/>
            <w:tcBorders>
              <w:tl2br w:val="nil"/>
              <w:tr2bl w:val="nil"/>
            </w:tcBorders>
            <w:shd w:val="clear" w:color="auto" w:fill="auto"/>
            <w:vAlign w:val="center"/>
          </w:tcPr>
          <w:p w14:paraId="1ED80CEE">
            <w:pPr>
              <w:jc w:val="center"/>
              <w:rPr>
                <w:rFonts w:hint="eastAsia" w:ascii="宋体" w:hAnsi="宋体" w:eastAsia="宋体" w:cs="宋体"/>
                <w:i w:val="0"/>
                <w:iCs w:val="0"/>
                <w:color w:val="000000"/>
                <w:sz w:val="20"/>
                <w:szCs w:val="20"/>
                <w:u w:val="none"/>
              </w:rPr>
            </w:pPr>
          </w:p>
        </w:tc>
        <w:tc>
          <w:tcPr>
            <w:tcW w:w="643" w:type="dxa"/>
            <w:vMerge w:val="continue"/>
            <w:tcBorders>
              <w:tl2br w:val="nil"/>
              <w:tr2bl w:val="nil"/>
            </w:tcBorders>
            <w:shd w:val="clear" w:color="auto" w:fill="auto"/>
            <w:vAlign w:val="center"/>
          </w:tcPr>
          <w:p w14:paraId="2EB581E2">
            <w:pPr>
              <w:jc w:val="center"/>
              <w:rPr>
                <w:rFonts w:hint="eastAsia" w:ascii="宋体" w:hAnsi="宋体" w:eastAsia="宋体" w:cs="宋体"/>
                <w:i w:val="0"/>
                <w:iCs w:val="0"/>
                <w:color w:val="000000"/>
                <w:sz w:val="20"/>
                <w:szCs w:val="20"/>
                <w:u w:val="none"/>
              </w:rPr>
            </w:pPr>
          </w:p>
        </w:tc>
        <w:tc>
          <w:tcPr>
            <w:tcW w:w="729" w:type="dxa"/>
            <w:vMerge w:val="continue"/>
            <w:tcBorders>
              <w:tl2br w:val="nil"/>
              <w:tr2bl w:val="nil"/>
            </w:tcBorders>
            <w:shd w:val="clear" w:color="auto" w:fill="auto"/>
            <w:vAlign w:val="center"/>
          </w:tcPr>
          <w:p w14:paraId="533C8089">
            <w:pPr>
              <w:jc w:val="center"/>
              <w:rPr>
                <w:rFonts w:hint="eastAsia" w:ascii="宋体" w:hAnsi="宋体" w:eastAsia="宋体" w:cs="宋体"/>
                <w:i w:val="0"/>
                <w:iCs w:val="0"/>
                <w:color w:val="000000"/>
                <w:sz w:val="20"/>
                <w:szCs w:val="20"/>
                <w:u w:val="none"/>
              </w:rPr>
            </w:pPr>
          </w:p>
        </w:tc>
        <w:tc>
          <w:tcPr>
            <w:tcW w:w="621" w:type="dxa"/>
            <w:tcBorders>
              <w:tl2br w:val="nil"/>
              <w:tr2bl w:val="nil"/>
            </w:tcBorders>
            <w:shd w:val="clear" w:color="auto" w:fill="auto"/>
            <w:vAlign w:val="center"/>
          </w:tcPr>
          <w:p w14:paraId="2D7CD9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部署</w:t>
            </w:r>
          </w:p>
        </w:tc>
        <w:tc>
          <w:tcPr>
            <w:tcW w:w="4045" w:type="dxa"/>
            <w:tcBorders>
              <w:tl2br w:val="nil"/>
              <w:tr2bl w:val="nil"/>
            </w:tcBorders>
            <w:shd w:val="clear" w:color="auto" w:fill="auto"/>
            <w:vAlign w:val="center"/>
          </w:tcPr>
          <w:p w14:paraId="7FD1FC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产品部署在Linux操作系统硬件平台上；</w:t>
            </w:r>
          </w:p>
        </w:tc>
        <w:tc>
          <w:tcPr>
            <w:tcW w:w="416" w:type="dxa"/>
            <w:vMerge w:val="continue"/>
            <w:tcBorders>
              <w:tl2br w:val="nil"/>
              <w:tr2bl w:val="nil"/>
            </w:tcBorders>
            <w:shd w:val="clear" w:color="auto" w:fill="auto"/>
            <w:vAlign w:val="center"/>
          </w:tcPr>
          <w:p w14:paraId="0276BEF1">
            <w:pPr>
              <w:jc w:val="center"/>
              <w:rPr>
                <w:rFonts w:hint="eastAsia" w:ascii="宋体" w:hAnsi="宋体" w:eastAsia="宋体" w:cs="宋体"/>
                <w:i w:val="0"/>
                <w:iCs w:val="0"/>
                <w:color w:val="000000"/>
                <w:sz w:val="20"/>
                <w:szCs w:val="20"/>
                <w:u w:val="none"/>
              </w:rPr>
            </w:pPr>
          </w:p>
        </w:tc>
        <w:tc>
          <w:tcPr>
            <w:tcW w:w="638" w:type="dxa"/>
            <w:vMerge w:val="continue"/>
            <w:tcBorders>
              <w:tl2br w:val="nil"/>
              <w:tr2bl w:val="nil"/>
            </w:tcBorders>
            <w:shd w:val="clear" w:color="auto" w:fill="auto"/>
            <w:vAlign w:val="center"/>
          </w:tcPr>
          <w:p w14:paraId="06829298">
            <w:pPr>
              <w:jc w:val="center"/>
              <w:rPr>
                <w:rFonts w:hint="eastAsia" w:ascii="宋体" w:hAnsi="宋体" w:eastAsia="宋体" w:cs="宋体"/>
                <w:i w:val="0"/>
                <w:iCs w:val="0"/>
                <w:color w:val="000000"/>
                <w:sz w:val="20"/>
                <w:szCs w:val="20"/>
                <w:u w:val="none"/>
              </w:rPr>
            </w:pPr>
          </w:p>
        </w:tc>
        <w:tc>
          <w:tcPr>
            <w:tcW w:w="879" w:type="dxa"/>
            <w:vMerge w:val="continue"/>
            <w:tcBorders>
              <w:tl2br w:val="nil"/>
              <w:tr2bl w:val="nil"/>
            </w:tcBorders>
            <w:shd w:val="clear" w:color="auto" w:fill="auto"/>
            <w:vAlign w:val="center"/>
          </w:tcPr>
          <w:p w14:paraId="06F19B92">
            <w:pPr>
              <w:jc w:val="center"/>
              <w:rPr>
                <w:rFonts w:hint="eastAsia" w:ascii="宋体" w:hAnsi="宋体" w:eastAsia="宋体" w:cs="宋体"/>
                <w:i w:val="0"/>
                <w:iCs w:val="0"/>
                <w:color w:val="000000"/>
                <w:sz w:val="20"/>
                <w:szCs w:val="20"/>
                <w:u w:val="none"/>
              </w:rPr>
            </w:pPr>
          </w:p>
        </w:tc>
        <w:tc>
          <w:tcPr>
            <w:tcW w:w="900" w:type="dxa"/>
            <w:vMerge w:val="continue"/>
            <w:tcBorders>
              <w:tl2br w:val="nil"/>
              <w:tr2bl w:val="nil"/>
            </w:tcBorders>
            <w:shd w:val="clear" w:color="auto" w:fill="auto"/>
            <w:vAlign w:val="center"/>
          </w:tcPr>
          <w:p w14:paraId="481D10B8">
            <w:pPr>
              <w:jc w:val="center"/>
              <w:rPr>
                <w:rFonts w:hint="eastAsia" w:ascii="宋体" w:hAnsi="宋体" w:eastAsia="宋体" w:cs="宋体"/>
                <w:i w:val="0"/>
                <w:iCs w:val="0"/>
                <w:color w:val="000000"/>
                <w:sz w:val="20"/>
                <w:szCs w:val="20"/>
                <w:u w:val="none"/>
              </w:rPr>
            </w:pPr>
          </w:p>
        </w:tc>
        <w:tc>
          <w:tcPr>
            <w:tcW w:w="644" w:type="dxa"/>
            <w:vMerge w:val="continue"/>
            <w:tcBorders>
              <w:tl2br w:val="nil"/>
              <w:tr2bl w:val="nil"/>
            </w:tcBorders>
            <w:shd w:val="clear" w:color="auto" w:fill="auto"/>
            <w:vAlign w:val="center"/>
          </w:tcPr>
          <w:p w14:paraId="3FD2CEDA">
            <w:pPr>
              <w:jc w:val="center"/>
              <w:rPr>
                <w:rFonts w:hint="eastAsia" w:ascii="宋体" w:hAnsi="宋体" w:eastAsia="宋体" w:cs="宋体"/>
                <w:i w:val="0"/>
                <w:iCs w:val="0"/>
                <w:color w:val="000000"/>
                <w:sz w:val="20"/>
                <w:szCs w:val="20"/>
                <w:u w:val="none"/>
              </w:rPr>
            </w:pPr>
          </w:p>
        </w:tc>
      </w:tr>
      <w:tr w14:paraId="1079F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60" w:hRule="atLeast"/>
        </w:trPr>
        <w:tc>
          <w:tcPr>
            <w:tcW w:w="450" w:type="dxa"/>
            <w:vMerge w:val="continue"/>
            <w:tcBorders>
              <w:tl2br w:val="nil"/>
              <w:tr2bl w:val="nil"/>
            </w:tcBorders>
            <w:shd w:val="clear" w:color="auto" w:fill="auto"/>
            <w:vAlign w:val="center"/>
          </w:tcPr>
          <w:p w14:paraId="45A963E2">
            <w:pPr>
              <w:jc w:val="center"/>
              <w:rPr>
                <w:rFonts w:hint="eastAsia" w:ascii="宋体" w:hAnsi="宋体" w:eastAsia="宋体" w:cs="宋体"/>
                <w:i w:val="0"/>
                <w:iCs w:val="0"/>
                <w:color w:val="000000"/>
                <w:sz w:val="20"/>
                <w:szCs w:val="20"/>
                <w:u w:val="none"/>
              </w:rPr>
            </w:pPr>
          </w:p>
        </w:tc>
        <w:tc>
          <w:tcPr>
            <w:tcW w:w="643" w:type="dxa"/>
            <w:vMerge w:val="continue"/>
            <w:tcBorders>
              <w:tl2br w:val="nil"/>
              <w:tr2bl w:val="nil"/>
            </w:tcBorders>
            <w:shd w:val="clear" w:color="auto" w:fill="auto"/>
            <w:vAlign w:val="center"/>
          </w:tcPr>
          <w:p w14:paraId="4798E267">
            <w:pPr>
              <w:jc w:val="center"/>
              <w:rPr>
                <w:rFonts w:hint="eastAsia" w:ascii="宋体" w:hAnsi="宋体" w:eastAsia="宋体" w:cs="宋体"/>
                <w:i w:val="0"/>
                <w:iCs w:val="0"/>
                <w:color w:val="000000"/>
                <w:sz w:val="20"/>
                <w:szCs w:val="20"/>
                <w:u w:val="none"/>
              </w:rPr>
            </w:pPr>
          </w:p>
        </w:tc>
        <w:tc>
          <w:tcPr>
            <w:tcW w:w="729" w:type="dxa"/>
            <w:tcBorders>
              <w:tl2br w:val="nil"/>
              <w:tr2bl w:val="nil"/>
            </w:tcBorders>
            <w:shd w:val="clear" w:color="auto" w:fill="auto"/>
            <w:noWrap/>
            <w:vAlign w:val="center"/>
          </w:tcPr>
          <w:p w14:paraId="4F7C40C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资质</w:t>
            </w:r>
          </w:p>
        </w:tc>
        <w:tc>
          <w:tcPr>
            <w:tcW w:w="621" w:type="dxa"/>
            <w:tcBorders>
              <w:tl2br w:val="nil"/>
              <w:tr2bl w:val="nil"/>
            </w:tcBorders>
            <w:shd w:val="clear" w:color="auto" w:fill="auto"/>
            <w:vAlign w:val="center"/>
          </w:tcPr>
          <w:p w14:paraId="7C645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产品资质</w:t>
            </w:r>
          </w:p>
        </w:tc>
        <w:tc>
          <w:tcPr>
            <w:tcW w:w="4045" w:type="dxa"/>
            <w:tcBorders>
              <w:tl2br w:val="nil"/>
              <w:tr2bl w:val="nil"/>
            </w:tcBorders>
            <w:shd w:val="clear" w:color="auto" w:fill="auto"/>
            <w:vAlign w:val="center"/>
          </w:tcPr>
          <w:p w14:paraId="3D1823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产品具备自主研制能力证书《计算机软件著作权登记证书》；</w:t>
            </w:r>
            <w:r>
              <w:rPr>
                <w:rFonts w:hint="eastAsia" w:ascii="宋体" w:hAnsi="宋体" w:eastAsia="宋体" w:cs="宋体"/>
                <w:b/>
                <w:bCs/>
                <w:i w:val="0"/>
                <w:iCs w:val="0"/>
                <w:color w:val="FF0000"/>
                <w:kern w:val="0"/>
                <w:sz w:val="20"/>
                <w:szCs w:val="20"/>
                <w:u w:val="none"/>
                <w:lang w:val="en-US" w:eastAsia="zh-CN" w:bidi="ar"/>
              </w:rPr>
              <w:t>（投标时须提供证书复印件加盖投标人公章）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产品具备国家信息安全漏洞库兼容性资质证书。</w:t>
            </w:r>
            <w:r>
              <w:rPr>
                <w:rFonts w:hint="eastAsia" w:ascii="宋体" w:hAnsi="宋体" w:eastAsia="宋体" w:cs="宋体"/>
                <w:b/>
                <w:bCs/>
                <w:i w:val="0"/>
                <w:iCs w:val="0"/>
                <w:color w:val="FF0000"/>
                <w:kern w:val="0"/>
                <w:sz w:val="20"/>
                <w:szCs w:val="20"/>
                <w:u w:val="none"/>
                <w:lang w:val="en-US" w:eastAsia="zh-CN" w:bidi="ar"/>
              </w:rPr>
              <w:t>（投标时须提供证书复印件加盖投标人公章）</w:t>
            </w:r>
          </w:p>
        </w:tc>
        <w:tc>
          <w:tcPr>
            <w:tcW w:w="416" w:type="dxa"/>
            <w:vMerge w:val="continue"/>
            <w:tcBorders>
              <w:tl2br w:val="nil"/>
              <w:tr2bl w:val="nil"/>
            </w:tcBorders>
            <w:shd w:val="clear" w:color="auto" w:fill="auto"/>
            <w:vAlign w:val="center"/>
          </w:tcPr>
          <w:p w14:paraId="5C2CC463">
            <w:pPr>
              <w:jc w:val="center"/>
              <w:rPr>
                <w:rFonts w:hint="eastAsia" w:ascii="宋体" w:hAnsi="宋体" w:eastAsia="宋体" w:cs="宋体"/>
                <w:i w:val="0"/>
                <w:iCs w:val="0"/>
                <w:color w:val="000000"/>
                <w:sz w:val="20"/>
                <w:szCs w:val="20"/>
                <w:u w:val="none"/>
              </w:rPr>
            </w:pPr>
          </w:p>
        </w:tc>
        <w:tc>
          <w:tcPr>
            <w:tcW w:w="638" w:type="dxa"/>
            <w:vMerge w:val="continue"/>
            <w:tcBorders>
              <w:tl2br w:val="nil"/>
              <w:tr2bl w:val="nil"/>
            </w:tcBorders>
            <w:shd w:val="clear" w:color="auto" w:fill="auto"/>
            <w:vAlign w:val="center"/>
          </w:tcPr>
          <w:p w14:paraId="59421AA5">
            <w:pPr>
              <w:jc w:val="center"/>
              <w:rPr>
                <w:rFonts w:hint="eastAsia" w:ascii="宋体" w:hAnsi="宋体" w:eastAsia="宋体" w:cs="宋体"/>
                <w:i w:val="0"/>
                <w:iCs w:val="0"/>
                <w:color w:val="000000"/>
                <w:sz w:val="20"/>
                <w:szCs w:val="20"/>
                <w:u w:val="none"/>
              </w:rPr>
            </w:pPr>
          </w:p>
        </w:tc>
        <w:tc>
          <w:tcPr>
            <w:tcW w:w="879" w:type="dxa"/>
            <w:vMerge w:val="continue"/>
            <w:tcBorders>
              <w:tl2br w:val="nil"/>
              <w:tr2bl w:val="nil"/>
            </w:tcBorders>
            <w:shd w:val="clear" w:color="auto" w:fill="auto"/>
            <w:vAlign w:val="center"/>
          </w:tcPr>
          <w:p w14:paraId="7D396CCE">
            <w:pPr>
              <w:jc w:val="center"/>
              <w:rPr>
                <w:rFonts w:hint="eastAsia" w:ascii="宋体" w:hAnsi="宋体" w:eastAsia="宋体" w:cs="宋体"/>
                <w:i w:val="0"/>
                <w:iCs w:val="0"/>
                <w:color w:val="000000"/>
                <w:sz w:val="20"/>
                <w:szCs w:val="20"/>
                <w:u w:val="none"/>
              </w:rPr>
            </w:pPr>
          </w:p>
        </w:tc>
        <w:tc>
          <w:tcPr>
            <w:tcW w:w="900" w:type="dxa"/>
            <w:vMerge w:val="continue"/>
            <w:tcBorders>
              <w:tl2br w:val="nil"/>
              <w:tr2bl w:val="nil"/>
            </w:tcBorders>
            <w:shd w:val="clear" w:color="auto" w:fill="auto"/>
            <w:vAlign w:val="center"/>
          </w:tcPr>
          <w:p w14:paraId="0616D454">
            <w:pPr>
              <w:jc w:val="center"/>
              <w:rPr>
                <w:rFonts w:hint="eastAsia" w:ascii="宋体" w:hAnsi="宋体" w:eastAsia="宋体" w:cs="宋体"/>
                <w:i w:val="0"/>
                <w:iCs w:val="0"/>
                <w:color w:val="000000"/>
                <w:sz w:val="20"/>
                <w:szCs w:val="20"/>
                <w:u w:val="none"/>
              </w:rPr>
            </w:pPr>
          </w:p>
        </w:tc>
        <w:tc>
          <w:tcPr>
            <w:tcW w:w="644" w:type="dxa"/>
            <w:vMerge w:val="continue"/>
            <w:tcBorders>
              <w:tl2br w:val="nil"/>
              <w:tr2bl w:val="nil"/>
            </w:tcBorders>
            <w:shd w:val="clear" w:color="auto" w:fill="auto"/>
            <w:vAlign w:val="center"/>
          </w:tcPr>
          <w:p w14:paraId="683533FD">
            <w:pPr>
              <w:jc w:val="center"/>
              <w:rPr>
                <w:rFonts w:hint="eastAsia" w:ascii="宋体" w:hAnsi="宋体" w:eastAsia="宋体" w:cs="宋体"/>
                <w:i w:val="0"/>
                <w:iCs w:val="0"/>
                <w:color w:val="000000"/>
                <w:sz w:val="20"/>
                <w:szCs w:val="20"/>
                <w:u w:val="none"/>
              </w:rPr>
            </w:pPr>
          </w:p>
        </w:tc>
      </w:tr>
    </w:tbl>
    <w:p w14:paraId="218CF7FF">
      <w:pPr>
        <w:tabs>
          <w:tab w:val="left" w:pos="7140"/>
        </w:tabs>
        <w:spacing w:line="420" w:lineRule="exact"/>
        <w:ind w:firstLine="629"/>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投 标 人（法人章）        </w:t>
      </w:r>
    </w:p>
    <w:p w14:paraId="47B026E5">
      <w:pPr>
        <w:spacing w:line="420" w:lineRule="exact"/>
        <w:ind w:firstLine="629"/>
        <w:rPr>
          <w:rFonts w:ascii="宋体" w:hAnsi="宋体" w:eastAsia="宋体"/>
          <w:color w:val="auto"/>
          <w:sz w:val="24"/>
          <w:szCs w:val="24"/>
          <w:highlight w:val="none"/>
        </w:rPr>
      </w:pPr>
      <w:r>
        <w:rPr>
          <w:rFonts w:hint="eastAsia" w:ascii="宋体" w:hAnsi="宋体" w:eastAsia="宋体"/>
          <w:color w:val="auto"/>
          <w:sz w:val="24"/>
          <w:szCs w:val="24"/>
          <w:highlight w:val="none"/>
        </w:rPr>
        <w:t>法定代表人（签字或盖章）</w:t>
      </w:r>
    </w:p>
    <w:p w14:paraId="21463D6D">
      <w:pPr>
        <w:spacing w:line="420" w:lineRule="exact"/>
        <w:ind w:firstLine="629"/>
        <w:rPr>
          <w:rFonts w:ascii="宋体" w:hAnsi="宋体" w:eastAsia="宋体"/>
          <w:color w:val="auto"/>
          <w:sz w:val="24"/>
          <w:szCs w:val="24"/>
          <w:highlight w:val="none"/>
        </w:rPr>
      </w:pPr>
      <w:r>
        <w:rPr>
          <w:rFonts w:hint="eastAsia" w:ascii="宋体" w:hAnsi="宋体" w:eastAsia="宋体"/>
          <w:color w:val="auto"/>
          <w:sz w:val="24"/>
          <w:szCs w:val="24"/>
          <w:highlight w:val="none"/>
        </w:rPr>
        <w:t>或委托代理人</w:t>
      </w:r>
    </w:p>
    <w:p w14:paraId="4EF5B3BE">
      <w:pPr>
        <w:tabs>
          <w:tab w:val="left" w:pos="1995"/>
        </w:tabs>
        <w:spacing w:line="420" w:lineRule="exact"/>
        <w:ind w:firstLine="629"/>
        <w:rPr>
          <w:rFonts w:ascii="宋体" w:hAnsi="宋体" w:eastAsia="宋体"/>
          <w:color w:val="auto"/>
          <w:sz w:val="24"/>
          <w:szCs w:val="24"/>
          <w:highlight w:val="none"/>
        </w:rPr>
      </w:pPr>
      <w:r>
        <w:rPr>
          <w:rFonts w:hint="eastAsia" w:ascii="宋体" w:hAnsi="宋体" w:eastAsia="宋体"/>
          <w:color w:val="auto"/>
          <w:sz w:val="24"/>
          <w:szCs w:val="24"/>
          <w:highlight w:val="none"/>
        </w:rPr>
        <w:t>日    期：        年    月    日</w:t>
      </w:r>
    </w:p>
    <w:p w14:paraId="578C1BC1">
      <w:pPr>
        <w:rPr>
          <w:rFonts w:hint="eastAsia" w:ascii="Calibri" w:hAnsi="Calibri" w:eastAsia="宋体" w:cs="Times New Roman"/>
          <w:color w:val="auto"/>
          <w:sz w:val="21"/>
          <w:szCs w:val="24"/>
          <w:highlight w:val="none"/>
          <w:lang w:val="zh-CN"/>
        </w:rPr>
      </w:pPr>
      <w:r>
        <w:rPr>
          <w:rFonts w:hint="eastAsia" w:ascii="Calibri" w:hAnsi="Calibri" w:eastAsia="宋体" w:cs="Times New Roman"/>
          <w:color w:val="auto"/>
          <w:sz w:val="21"/>
          <w:szCs w:val="24"/>
          <w:highlight w:val="none"/>
          <w:lang w:val="zh-CN"/>
        </w:rPr>
        <w:br w:type="page"/>
      </w:r>
    </w:p>
    <w:p w14:paraId="31FDA6C5">
      <w:pPr>
        <w:spacing w:line="480" w:lineRule="auto"/>
        <w:ind w:firstLine="446" w:firstLineChars="202"/>
        <w:rPr>
          <w:rFonts w:ascii="Calibri" w:hAnsi="Calibri" w:eastAsia="宋体" w:cs="Times New Roman"/>
          <w:color w:val="auto"/>
          <w:sz w:val="21"/>
          <w:szCs w:val="24"/>
          <w:highlight w:val="none"/>
          <w:lang w:val="zh-CN"/>
        </w:rPr>
      </w:pPr>
      <w:r>
        <w:rPr>
          <w:rFonts w:hint="eastAsia" w:ascii="Calibri" w:hAnsi="Calibri" w:eastAsia="宋体" w:cs="Times New Roman"/>
          <w:color w:val="auto"/>
          <w:sz w:val="21"/>
          <w:szCs w:val="24"/>
          <w:highlight w:val="none"/>
          <w:lang w:val="zh-CN"/>
        </w:rPr>
        <w:t>附件</w:t>
      </w:r>
      <w:r>
        <w:rPr>
          <w:rFonts w:hint="eastAsia" w:ascii="Calibri" w:hAnsi="Calibri" w:eastAsia="宋体" w:cs="Times New Roman"/>
          <w:color w:val="auto"/>
          <w:sz w:val="21"/>
          <w:szCs w:val="24"/>
          <w:highlight w:val="none"/>
        </w:rPr>
        <w:t>A</w:t>
      </w:r>
    </w:p>
    <w:p w14:paraId="07F04CBB">
      <w:pPr>
        <w:spacing w:line="480" w:lineRule="auto"/>
        <w:jc w:val="center"/>
        <w:rPr>
          <w:rFonts w:ascii="Calibri" w:hAnsi="Calibri" w:eastAsia="宋体" w:cs="Times New Roman"/>
          <w:b/>
          <w:bCs/>
          <w:color w:val="auto"/>
          <w:sz w:val="32"/>
          <w:szCs w:val="32"/>
          <w:highlight w:val="none"/>
        </w:rPr>
      </w:pPr>
      <w:r>
        <w:rPr>
          <w:rFonts w:hint="eastAsia" w:ascii="Calibri" w:hAnsi="Calibri" w:eastAsia="宋体" w:cs="Times New Roman"/>
          <w:b/>
          <w:bCs/>
          <w:color w:val="auto"/>
          <w:sz w:val="32"/>
          <w:szCs w:val="32"/>
          <w:highlight w:val="none"/>
        </w:rPr>
        <w:t>投标保证金信用承诺函</w:t>
      </w:r>
    </w:p>
    <w:p w14:paraId="6FEC384D">
      <w:pPr>
        <w:spacing w:line="520" w:lineRule="exact"/>
        <w:ind w:firstLine="558" w:firstLineChars="25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为维护公平、公正、公开的政府投资市场秩序，树立诚实守信的投标人形象，本单位自愿作出以下承诺：</w:t>
      </w:r>
    </w:p>
    <w:p w14:paraId="4249B777">
      <w:pPr>
        <w:spacing w:line="520" w:lineRule="exact"/>
        <w:ind w:firstLine="558" w:firstLineChars="25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w:t>
      </w:r>
    </w:p>
    <w:p w14:paraId="3987ABF2">
      <w:pPr>
        <w:spacing w:line="520" w:lineRule="exact"/>
        <w:ind w:firstLine="558" w:firstLineChars="25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p w14:paraId="3FC4E656">
      <w:pPr>
        <w:spacing w:line="520" w:lineRule="exact"/>
        <w:ind w:firstLine="558" w:firstLineChars="25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 </w:t>
      </w:r>
    </w:p>
    <w:p w14:paraId="14BE3A53">
      <w:pPr>
        <w:spacing w:line="520" w:lineRule="exact"/>
        <w:ind w:firstLine="558" w:firstLineChars="25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一、本单位具备承担招标项目的能力，自愿参加  （招标项目名称）  投标活动，严格遵守《中华人民共和国招标投标法》及相关法律法规，依法诚信经营，无条件遵守招标投标活动的各项规定。</w:t>
      </w:r>
    </w:p>
    <w:p w14:paraId="4042AA67">
      <w:pPr>
        <w:spacing w:line="520" w:lineRule="exact"/>
        <w:ind w:firstLine="558" w:firstLineChars="25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二、本单位承诺：本单位在</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提交截止日之前，在“信用中国”中未被列入“严重失信主体名单”、“信用承诺”中没有“部分履行”或者“全部未履行”的有关记录，在“中国执行信息公开网”中企业及法定代表人没有被列入“失信被执行人”，在“中国政府采购网”未被列入“政府采购严重违法失信行为记录名单”，未被列入“经营异常名录”及“严重违法失信名单”；本单位和拟派项目负责人近2年内没有因串通投标、弄虚作假、以他人名义投标、骗取中标、转包、违法分包等违法行为受到有关部门行政处罚。</w:t>
      </w:r>
    </w:p>
    <w:p w14:paraId="1FFF5662">
      <w:pPr>
        <w:spacing w:line="520" w:lineRule="exact"/>
        <w:ind w:firstLine="558" w:firstLineChars="25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三、本单位自愿使用信用承诺函作为免缴投标保证金证明，并自愿承担相关法律责任和风险。</w:t>
      </w:r>
    </w:p>
    <w:p w14:paraId="728560A2">
      <w:pPr>
        <w:spacing w:line="520" w:lineRule="exact"/>
        <w:ind w:firstLine="558" w:firstLineChars="25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如本单位违反法律、法规、招标文件约定、本信用承诺函承诺或下述任何一种违约行为（1.在招标文件中规定的投标有效期内撤销</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2.中标后在规定期限内无正当理由不与招标人签订合同或在签订合同时向招标人提出附加条件、或者未按招标文件规定提交履约保证金；3.法律、法规规定的其他情形），招标人书面通知不予退还投标保证金的，我公司承诺自收到不予退还投标保证金书面通知书之日起3个工作日内，按所投项目招标文件约定的投标保证金金额以现金方式兑付。未如期兑付自愿接受以下处理，同意被列入违反投标保证金信用承诺企业名单，并进行违反信用承诺行为信息记录公示。</w:t>
      </w:r>
    </w:p>
    <w:p w14:paraId="18A21FB5">
      <w:pPr>
        <w:spacing w:line="520" w:lineRule="exact"/>
        <w:ind w:firstLine="558" w:firstLineChars="25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如本单位在违反信用承诺行为</w:t>
      </w:r>
      <w:r>
        <w:rPr>
          <w:rFonts w:hint="eastAsia" w:ascii="宋体" w:hAnsi="宋体" w:eastAsia="宋体" w:cs="宋体"/>
          <w:color w:val="auto"/>
          <w:sz w:val="21"/>
          <w:szCs w:val="21"/>
          <w:highlight w:val="none"/>
        </w:rPr>
        <w:t>信息记录</w:t>
      </w:r>
      <w:r>
        <w:rPr>
          <w:rFonts w:hint="eastAsia" w:ascii="宋体" w:hAnsi="宋体" w:eastAsia="宋体" w:cs="宋体"/>
          <w:color w:val="auto"/>
          <w:sz w:val="21"/>
          <w:szCs w:val="21"/>
          <w:highlight w:val="none"/>
          <w:lang w:val="zh-CN"/>
        </w:rPr>
        <w:t>公示期内，承诺不参加盐城市招标投标活动，否则视同投标或中标无效，盐城市</w:t>
      </w:r>
      <w:r>
        <w:rPr>
          <w:rFonts w:hint="eastAsia" w:ascii="宋体" w:hAnsi="宋体" w:eastAsia="宋体" w:cs="宋体"/>
          <w:color w:val="auto"/>
          <w:sz w:val="21"/>
          <w:szCs w:val="21"/>
          <w:highlight w:val="none"/>
        </w:rPr>
        <w:t>项目招标人亦可拒绝</w:t>
      </w:r>
      <w:r>
        <w:rPr>
          <w:rFonts w:hint="eastAsia" w:ascii="宋体" w:hAnsi="宋体" w:eastAsia="宋体" w:cs="宋体"/>
          <w:color w:val="auto"/>
          <w:sz w:val="21"/>
          <w:szCs w:val="21"/>
          <w:highlight w:val="none"/>
          <w:lang w:val="zh-CN"/>
        </w:rPr>
        <w:t>本单位投标。如公示期满一年内，参与盐城市各类</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val="zh-CN"/>
        </w:rPr>
        <w:t>均以现金或银行保函方式从投标人法人基本存款账户缴纳投标保证金（不收投标保证金项目除外），否则视同未提交投标保证金。</w:t>
      </w:r>
    </w:p>
    <w:p w14:paraId="5B121A19">
      <w:pPr>
        <w:spacing w:line="520" w:lineRule="exact"/>
        <w:ind w:firstLine="558" w:firstLineChars="25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如本单位未按承诺补缴现金投标保证金，招标人提起诉讼的，相关诉讼费用</w:t>
      </w:r>
      <w:r>
        <w:rPr>
          <w:rFonts w:hint="eastAsia" w:ascii="宋体" w:hAnsi="宋体" w:eastAsia="宋体" w:cs="宋体"/>
          <w:color w:val="auto"/>
          <w:sz w:val="21"/>
          <w:szCs w:val="21"/>
          <w:highlight w:val="none"/>
          <w:lang w:val="zh-CN"/>
        </w:rPr>
        <w:t>（包括</w:t>
      </w:r>
      <w:r>
        <w:rPr>
          <w:rFonts w:hint="eastAsia" w:ascii="宋体" w:hAnsi="宋体" w:eastAsia="宋体" w:cs="宋体"/>
          <w:color w:val="auto"/>
          <w:sz w:val="21"/>
          <w:szCs w:val="21"/>
          <w:highlight w:val="none"/>
        </w:rPr>
        <w:t>但不</w:t>
      </w:r>
      <w:r>
        <w:rPr>
          <w:rFonts w:hint="eastAsia" w:ascii="宋体" w:hAnsi="宋体" w:eastAsia="宋体" w:cs="宋体"/>
          <w:color w:val="auto"/>
          <w:sz w:val="21"/>
          <w:szCs w:val="21"/>
          <w:highlight w:val="none"/>
          <w:lang w:val="zh-CN"/>
        </w:rPr>
        <w:t>限于案件受理费、律师费、申请费、差旅费等）</w:t>
      </w:r>
      <w:r>
        <w:rPr>
          <w:rFonts w:hint="eastAsia" w:ascii="宋体" w:hAnsi="宋体" w:eastAsia="宋体" w:cs="宋体"/>
          <w:color w:val="auto"/>
          <w:sz w:val="21"/>
          <w:szCs w:val="21"/>
          <w:highlight w:val="none"/>
        </w:rPr>
        <w:t>由本单位承担，盐城市内各公共资源交易中心、招标人有权暂缓退付本单位以现金方式缴纳的其他项目投标保证金，并协助法院执行。</w:t>
      </w:r>
    </w:p>
    <w:p w14:paraId="2D1FCF74">
      <w:pPr>
        <w:spacing w:line="520" w:lineRule="exact"/>
        <w:ind w:firstLine="558" w:firstLineChars="253"/>
        <w:rPr>
          <w:rFonts w:hint="eastAsia" w:ascii="宋体" w:hAnsi="宋体" w:eastAsia="宋体" w:cs="宋体"/>
          <w:color w:val="auto"/>
          <w:sz w:val="21"/>
          <w:szCs w:val="21"/>
          <w:highlight w:val="none"/>
        </w:rPr>
      </w:pPr>
    </w:p>
    <w:p w14:paraId="56AA4764">
      <w:pPr>
        <w:spacing w:line="520" w:lineRule="exact"/>
        <w:ind w:firstLine="558" w:firstLineChars="25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承诺人（盖公章）：</w:t>
      </w:r>
    </w:p>
    <w:p w14:paraId="06E06B71">
      <w:pPr>
        <w:spacing w:line="520" w:lineRule="exact"/>
        <w:ind w:firstLine="558" w:firstLineChars="25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承诺人法定代表人（印章或签字）：</w:t>
      </w:r>
    </w:p>
    <w:p w14:paraId="63D4D35A">
      <w:pPr>
        <w:spacing w:line="520" w:lineRule="exact"/>
        <w:ind w:firstLine="558" w:firstLineChars="25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08663F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rPr>
          <w:rFonts w:ascii="宋体" w:hAnsi="宋体" w:eastAsia="宋体"/>
          <w:color w:val="auto"/>
          <w:spacing w:val="20"/>
          <w:sz w:val="24"/>
          <w:szCs w:val="24"/>
          <w:highlight w:val="none"/>
        </w:rPr>
      </w:pPr>
    </w:p>
    <w:sectPr>
      <w:headerReference r:id="rId6" w:type="first"/>
      <w:footerReference r:id="rId8" w:type="first"/>
      <w:headerReference r:id="rId5" w:type="default"/>
      <w:footerReference r:id="rId7" w:type="default"/>
      <w:pgSz w:w="11907" w:h="16840"/>
      <w:pgMar w:top="1474" w:right="1474" w:bottom="1474" w:left="1474" w:header="851" w:footer="850" w:gutter="0"/>
      <w:pgBorders>
        <w:top w:val="none" w:sz="0" w:space="0"/>
        <w:left w:val="none" w:sz="0" w:space="0"/>
        <w:bottom w:val="none" w:sz="0" w:space="0"/>
        <w:right w:val="none" w:sz="0" w:space="0"/>
      </w:pgBorders>
      <w:pgNumType w:fmt="decimal"/>
      <w:cols w:space="720" w:num="1"/>
      <w:titlePg/>
      <w:rtlGutter w:val="0"/>
      <w:docGrid w:type="linesAndChars" w:linePitch="639" w:charSpace="24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F5CB6">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FBECD">
                          <w:pPr>
                            <w:pStyle w:val="17"/>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3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PJZlrN8BAAC/AwAADgAAAAAA&#10;AAABACAAAAAeAQAAZHJzL2Uyb0RvYy54bWxQSwUGAAAAAAYABgBZAQAAbwUAAAAA&#10;">
              <v:fill on="f" focussize="0,0"/>
              <v:stroke on="f"/>
              <v:imagedata o:title=""/>
              <o:lock v:ext="edit" aspectratio="f"/>
              <v:textbox inset="0mm,0mm,0mm,0mm" style="mso-fit-shape-to-text:t;">
                <w:txbxContent>
                  <w:p w14:paraId="689FBECD">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45AE8">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F4DA23">
                          <w:pPr>
                            <w:pStyle w:val="17"/>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3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7cH7L3gEAAL8DAAAOAAAAAAAA&#10;AAEAIAAAAB4BAABkcnMvZTJvRG9jLnhtbFBLBQYAAAAABgAGAFkBAABuBQAAAAA=&#10;">
              <v:fill on="f" focussize="0,0"/>
              <v:stroke on="f"/>
              <v:imagedata o:title=""/>
              <o:lock v:ext="edit" aspectratio="f"/>
              <v:textbox inset="0mm,0mm,0mm,0mm" style="mso-fit-shape-to-text:t;">
                <w:txbxContent>
                  <w:p w14:paraId="3BF4DA23">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9C0BA">
    <w:pPr>
      <w:pStyle w:val="17"/>
      <w:ind w:right="360"/>
      <w:rPr>
        <w:rFonts w:ascii="宋体" w:hAnsi="宋体" w:eastAsia="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9277C1">
                          <w:pPr>
                            <w:pStyle w:val="17"/>
                          </w:pPr>
                          <w:r>
                            <w:fldChar w:fldCharType="begin"/>
                          </w:r>
                          <w:r>
                            <w:instrText xml:space="preserve"> PAGE  \* MERGEFORMAT </w:instrText>
                          </w:r>
                          <w:r>
                            <w:fldChar w:fldCharType="separate"/>
                          </w:r>
                          <w:r>
                            <w:t>25</w:t>
                          </w:r>
                          <w:r>
                            <w:fldChar w:fldCharType="end"/>
                          </w:r>
                        </w:p>
                      </w:txbxContent>
                    </wps:txbx>
                    <wps:bodyPr vert="horz" wrap="none" lIns="0" tIns="0" rIns="0" bIns="0" anchor="t" anchorCtr="0" upright="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EN1M5d8BAAC/AwAADgAAAAAA&#10;AAABACAAAAAeAQAAZHJzL2Uyb0RvYy54bWxQSwUGAAAAAAYABgBZAQAAbwUAAAAA&#10;">
              <v:fill on="f" focussize="0,0"/>
              <v:stroke on="f"/>
              <v:imagedata o:title=""/>
              <o:lock v:ext="edit" aspectratio="f"/>
              <v:textbox inset="0mm,0mm,0mm,0mm" style="mso-fit-shape-to-text:t;">
                <w:txbxContent>
                  <w:p w14:paraId="269277C1">
                    <w:pPr>
                      <w:pStyle w:val="17"/>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07B4B">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E9360F">
                          <w:pPr>
                            <w:pStyle w:val="17"/>
                          </w:pPr>
                          <w:r>
                            <w:fldChar w:fldCharType="begin"/>
                          </w:r>
                          <w:r>
                            <w:instrText xml:space="preserve"> PAGE  \* MERGEFORMAT </w:instrText>
                          </w:r>
                          <w:r>
                            <w:fldChar w:fldCharType="separate"/>
                          </w:r>
                          <w:r>
                            <w:t>24</w:t>
                          </w:r>
                          <w:r>
                            <w:fldChar w:fldCharType="end"/>
                          </w:r>
                        </w:p>
                      </w:txbxContent>
                    </wps:txbx>
                    <wps:bodyPr vert="horz" wrap="none" lIns="0" tIns="0" rIns="0" bIns="0" anchor="t" anchorCtr="0" upright="0">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KBf5T98BAAC/AwAADgAAAAAA&#10;AAABACAAAAAeAQAAZHJzL2Uyb0RvYy54bWxQSwUGAAAAAAYABgBZAQAAbwUAAAAA&#10;">
              <v:fill on="f" focussize="0,0"/>
              <v:stroke on="f"/>
              <v:imagedata o:title=""/>
              <o:lock v:ext="edit" aspectratio="f"/>
              <v:textbox inset="0mm,0mm,0mm,0mm" style="mso-fit-shape-to-text:t;">
                <w:txbxContent>
                  <w:p w14:paraId="2AE9360F">
                    <w:pPr>
                      <w:pStyle w:val="17"/>
                    </w:pPr>
                    <w:r>
                      <w:fldChar w:fldCharType="begin"/>
                    </w:r>
                    <w:r>
                      <w:instrText xml:space="preserve"> PAGE  \* MERGEFORMAT </w:instrText>
                    </w:r>
                    <w:r>
                      <w:fldChar w:fldCharType="separate"/>
                    </w:r>
                    <w:r>
                      <w:t>24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FC17E">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1D1A9">
    <w:pP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546151"/>
    <w:multiLevelType w:val="singleLevel"/>
    <w:tmpl w:val="F5546151"/>
    <w:lvl w:ilvl="0" w:tentative="0">
      <w:start w:val="1"/>
      <w:numFmt w:val="decimal"/>
      <w:suff w:val="nothing"/>
      <w:lvlText w:val="（%1）"/>
      <w:lvlJc w:val="left"/>
      <w:rPr>
        <w:rFonts w:hint="default"/>
        <w:sz w:val="21"/>
        <w:szCs w:val="21"/>
      </w:rPr>
    </w:lvl>
  </w:abstractNum>
  <w:abstractNum w:abstractNumId="1">
    <w:nsid w:val="00000002"/>
    <w:multiLevelType w:val="multilevel"/>
    <w:tmpl w:val="00000002"/>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pStyle w:val="6"/>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
    <w:nsid w:val="0000000D"/>
    <w:multiLevelType w:val="singleLevel"/>
    <w:tmpl w:val="0000000D"/>
    <w:lvl w:ilvl="0" w:tentative="0">
      <w:start w:val="1"/>
      <w:numFmt w:val="upperLetter"/>
      <w:pStyle w:val="2"/>
      <w:lvlText w:val="%1、"/>
      <w:lvlJc w:val="left"/>
      <w:pPr>
        <w:tabs>
          <w:tab w:val="left" w:pos="420"/>
        </w:tabs>
        <w:ind w:left="420" w:hanging="420"/>
      </w:pPr>
      <w:rPr>
        <w:rFonts w:hint="eastAsia"/>
      </w:rPr>
    </w:lvl>
  </w:abstractNum>
  <w:abstractNum w:abstractNumId="3">
    <w:nsid w:val="0053208E"/>
    <w:multiLevelType w:val="multilevel"/>
    <w:tmpl w:val="0053208E"/>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4">
    <w:nsid w:val="09E36B52"/>
    <w:multiLevelType w:val="multilevel"/>
    <w:tmpl w:val="09E36B52"/>
    <w:lvl w:ilvl="0" w:tentative="0">
      <w:start w:val="1"/>
      <w:numFmt w:val="decimal"/>
      <w:lvlText w:val="%1、"/>
      <w:lvlJc w:val="left"/>
      <w:pPr>
        <w:ind w:left="440" w:hanging="440"/>
      </w:pPr>
      <w:rPr>
        <w:rFonts w:hint="eastAsia"/>
        <w:color w:val="auto"/>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E161080"/>
    <w:multiLevelType w:val="multilevel"/>
    <w:tmpl w:val="0E161080"/>
    <w:lvl w:ilvl="0" w:tentative="0">
      <w:start w:val="1"/>
      <w:numFmt w:val="decimal"/>
      <w:lvlText w:val="%1、"/>
      <w:lvlJc w:val="left"/>
      <w:pPr>
        <w:ind w:left="440" w:hanging="440"/>
      </w:pPr>
      <w:rPr>
        <w:rFonts w:hint="eastAsia"/>
        <w:color w:val="auto"/>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13183448"/>
    <w:multiLevelType w:val="multilevel"/>
    <w:tmpl w:val="13183448"/>
    <w:lvl w:ilvl="0" w:tentative="0">
      <w:start w:val="1"/>
      <w:numFmt w:val="decimal"/>
      <w:lvlText w:val="%1、"/>
      <w:lvlJc w:val="left"/>
      <w:pPr>
        <w:ind w:left="440" w:hanging="440"/>
      </w:pPr>
      <w:rPr>
        <w:rFonts w:hint="eastAsia"/>
        <w:color w:val="auto"/>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16B25617"/>
    <w:multiLevelType w:val="multilevel"/>
    <w:tmpl w:val="16B25617"/>
    <w:lvl w:ilvl="0" w:tentative="0">
      <w:start w:val="1"/>
      <w:numFmt w:val="decimal"/>
      <w:lvlText w:val="%1、"/>
      <w:lvlJc w:val="left"/>
      <w:pPr>
        <w:ind w:left="440" w:hanging="440"/>
      </w:pPr>
      <w:rPr>
        <w:rFonts w:hint="eastAsia"/>
        <w:color w:val="auto"/>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1AFA3431"/>
    <w:multiLevelType w:val="singleLevel"/>
    <w:tmpl w:val="1AFA3431"/>
    <w:lvl w:ilvl="0" w:tentative="0">
      <w:start w:val="1"/>
      <w:numFmt w:val="chineseCounting"/>
      <w:suff w:val="nothing"/>
      <w:lvlText w:val="%1、"/>
      <w:lvlJc w:val="left"/>
      <w:rPr>
        <w:rFonts w:hint="eastAsia"/>
      </w:rPr>
    </w:lvl>
  </w:abstractNum>
  <w:abstractNum w:abstractNumId="9">
    <w:nsid w:val="1BBF1D7C"/>
    <w:multiLevelType w:val="multilevel"/>
    <w:tmpl w:val="1BBF1D7C"/>
    <w:lvl w:ilvl="0" w:tentative="0">
      <w:start w:val="1"/>
      <w:numFmt w:val="decimal"/>
      <w:lvlText w:val="%1、"/>
      <w:lvlJc w:val="left"/>
      <w:pPr>
        <w:ind w:left="440" w:hanging="440"/>
      </w:pPr>
      <w:rPr>
        <w:rFonts w:hint="eastAsia"/>
        <w:color w:val="auto"/>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1F3D318A"/>
    <w:multiLevelType w:val="multilevel"/>
    <w:tmpl w:val="1F3D318A"/>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FF538BB"/>
    <w:multiLevelType w:val="multilevel"/>
    <w:tmpl w:val="1FF538BB"/>
    <w:lvl w:ilvl="0" w:tentative="0">
      <w:start w:val="1"/>
      <w:numFmt w:val="decimal"/>
      <w:lvlText w:val="%1、"/>
      <w:lvlJc w:val="left"/>
      <w:pPr>
        <w:ind w:left="440" w:hanging="440"/>
      </w:pPr>
      <w:rPr>
        <w:rFonts w:hint="eastAsia"/>
        <w:color w:val="auto"/>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384F786B"/>
    <w:multiLevelType w:val="multilevel"/>
    <w:tmpl w:val="384F786B"/>
    <w:lvl w:ilvl="0" w:tentative="0">
      <w:start w:val="1"/>
      <w:numFmt w:val="decimal"/>
      <w:lvlText w:val="%1、"/>
      <w:lvlJc w:val="left"/>
      <w:pPr>
        <w:ind w:left="440" w:hanging="440"/>
      </w:pPr>
      <w:rPr>
        <w:rFonts w:hint="eastAsia"/>
        <w:color w:val="auto"/>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5F7E1DB8"/>
    <w:multiLevelType w:val="multilevel"/>
    <w:tmpl w:val="5F7E1DB8"/>
    <w:lvl w:ilvl="0" w:tentative="0">
      <w:start w:val="1"/>
      <w:numFmt w:val="decimal"/>
      <w:lvlText w:val="%1、"/>
      <w:lvlJc w:val="left"/>
      <w:pPr>
        <w:ind w:left="440" w:hanging="440"/>
      </w:pPr>
      <w:rPr>
        <w:rFonts w:hint="eastAsia"/>
        <w:color w:val="auto"/>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4">
    <w:nsid w:val="617E6B6F"/>
    <w:multiLevelType w:val="multilevel"/>
    <w:tmpl w:val="617E6B6F"/>
    <w:lvl w:ilvl="0" w:tentative="0">
      <w:start w:val="1"/>
      <w:numFmt w:val="decimal"/>
      <w:lvlText w:val="%1、"/>
      <w:lvlJc w:val="left"/>
      <w:pPr>
        <w:ind w:left="440" w:hanging="440"/>
      </w:pPr>
      <w:rPr>
        <w:rFonts w:hint="eastAsia"/>
        <w:color w:val="auto"/>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
    <w:nsid w:val="65CE5BCC"/>
    <w:multiLevelType w:val="multilevel"/>
    <w:tmpl w:val="65CE5BCC"/>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6">
    <w:nsid w:val="74D137F6"/>
    <w:multiLevelType w:val="multilevel"/>
    <w:tmpl w:val="74D137F6"/>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7">
    <w:nsid w:val="79E33FDC"/>
    <w:multiLevelType w:val="multilevel"/>
    <w:tmpl w:val="79E33FDC"/>
    <w:lvl w:ilvl="0" w:tentative="0">
      <w:start w:val="1"/>
      <w:numFmt w:val="decimal"/>
      <w:lvlText w:val="%1、"/>
      <w:lvlJc w:val="left"/>
      <w:pPr>
        <w:ind w:left="440" w:hanging="440"/>
      </w:pPr>
      <w:rPr>
        <w:rFonts w:hint="eastAsia"/>
        <w:color w:val="auto"/>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2"/>
  </w:num>
  <w:num w:numId="2">
    <w:abstractNumId w:val="3"/>
  </w:num>
  <w:num w:numId="3">
    <w:abstractNumId w:val="1"/>
  </w:num>
  <w:num w:numId="4">
    <w:abstractNumId w:val="8"/>
  </w:num>
  <w:num w:numId="5">
    <w:abstractNumId w:val="10"/>
  </w:num>
  <w:num w:numId="6">
    <w:abstractNumId w:val="15"/>
  </w:num>
  <w:num w:numId="7">
    <w:abstractNumId w:val="5"/>
  </w:num>
  <w:num w:numId="8">
    <w:abstractNumId w:val="13"/>
  </w:num>
  <w:num w:numId="9">
    <w:abstractNumId w:val="14"/>
  </w:num>
  <w:num w:numId="10">
    <w:abstractNumId w:val="17"/>
  </w:num>
  <w:num w:numId="11">
    <w:abstractNumId w:val="6"/>
  </w:num>
  <w:num w:numId="12">
    <w:abstractNumId w:val="16"/>
  </w:num>
  <w:num w:numId="13">
    <w:abstractNumId w:val="11"/>
  </w:num>
  <w:num w:numId="14">
    <w:abstractNumId w:val="7"/>
  </w:num>
  <w:num w:numId="15">
    <w:abstractNumId w:val="9"/>
  </w:num>
  <w:num w:numId="16">
    <w:abstractNumId w:val="12"/>
  </w:num>
  <w:num w:numId="17">
    <w:abstractNumId w:val="4"/>
  </w:num>
  <w:num w:numId="1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5"/>
  <w:hyphenationZone w:val="360"/>
  <w:drawingGridHorizontalSpacing w:val="166"/>
  <w:drawingGridVerticalSpacing w:val="32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YWMwNGI0ZjkxNzU5ZjE5MWYxMWJjN2M1ZmM2MzYifQ=="/>
  </w:docVars>
  <w:rsids>
    <w:rsidRoot w:val="00172A27"/>
    <w:rsid w:val="00001CDC"/>
    <w:rsid w:val="0000657C"/>
    <w:rsid w:val="00012C79"/>
    <w:rsid w:val="00020E77"/>
    <w:rsid w:val="00062C1C"/>
    <w:rsid w:val="0007072D"/>
    <w:rsid w:val="00081914"/>
    <w:rsid w:val="00086E67"/>
    <w:rsid w:val="000A07AC"/>
    <w:rsid w:val="000B07A5"/>
    <w:rsid w:val="000B619A"/>
    <w:rsid w:val="000E3A3C"/>
    <w:rsid w:val="00112807"/>
    <w:rsid w:val="00112953"/>
    <w:rsid w:val="00112B0D"/>
    <w:rsid w:val="00131D28"/>
    <w:rsid w:val="00152BAD"/>
    <w:rsid w:val="0015648D"/>
    <w:rsid w:val="00166686"/>
    <w:rsid w:val="001725A3"/>
    <w:rsid w:val="00172A27"/>
    <w:rsid w:val="00173281"/>
    <w:rsid w:val="001B551D"/>
    <w:rsid w:val="001C154F"/>
    <w:rsid w:val="001C4965"/>
    <w:rsid w:val="001D0C2F"/>
    <w:rsid w:val="001D10CC"/>
    <w:rsid w:val="001D5363"/>
    <w:rsid w:val="001F31F9"/>
    <w:rsid w:val="001F3F4D"/>
    <w:rsid w:val="001F54BE"/>
    <w:rsid w:val="001F635E"/>
    <w:rsid w:val="00200586"/>
    <w:rsid w:val="00213F16"/>
    <w:rsid w:val="00213F9D"/>
    <w:rsid w:val="002270E1"/>
    <w:rsid w:val="00231A07"/>
    <w:rsid w:val="00234FEE"/>
    <w:rsid w:val="00253ABB"/>
    <w:rsid w:val="00261692"/>
    <w:rsid w:val="00261CF9"/>
    <w:rsid w:val="002648F9"/>
    <w:rsid w:val="00275F3F"/>
    <w:rsid w:val="00277681"/>
    <w:rsid w:val="002851DE"/>
    <w:rsid w:val="002A08B4"/>
    <w:rsid w:val="002B09F0"/>
    <w:rsid w:val="002B73E3"/>
    <w:rsid w:val="002D67D9"/>
    <w:rsid w:val="002F54E5"/>
    <w:rsid w:val="002F5CD9"/>
    <w:rsid w:val="00301C0D"/>
    <w:rsid w:val="003047DD"/>
    <w:rsid w:val="00305F8F"/>
    <w:rsid w:val="00306F0D"/>
    <w:rsid w:val="003126BD"/>
    <w:rsid w:val="003134FE"/>
    <w:rsid w:val="00317023"/>
    <w:rsid w:val="0034030D"/>
    <w:rsid w:val="00350E62"/>
    <w:rsid w:val="003607FD"/>
    <w:rsid w:val="00365BF3"/>
    <w:rsid w:val="0037025C"/>
    <w:rsid w:val="003712BD"/>
    <w:rsid w:val="00372BFF"/>
    <w:rsid w:val="00377581"/>
    <w:rsid w:val="00390586"/>
    <w:rsid w:val="003B30EE"/>
    <w:rsid w:val="003C109D"/>
    <w:rsid w:val="003E012E"/>
    <w:rsid w:val="003E4E72"/>
    <w:rsid w:val="003F603C"/>
    <w:rsid w:val="004060B6"/>
    <w:rsid w:val="00406126"/>
    <w:rsid w:val="00424253"/>
    <w:rsid w:val="004257AE"/>
    <w:rsid w:val="004302BA"/>
    <w:rsid w:val="00442B6A"/>
    <w:rsid w:val="00455087"/>
    <w:rsid w:val="004550B4"/>
    <w:rsid w:val="00455476"/>
    <w:rsid w:val="00456A97"/>
    <w:rsid w:val="00457EE8"/>
    <w:rsid w:val="00471631"/>
    <w:rsid w:val="00474DB9"/>
    <w:rsid w:val="00486D8C"/>
    <w:rsid w:val="004911CB"/>
    <w:rsid w:val="004B403B"/>
    <w:rsid w:val="004B59A0"/>
    <w:rsid w:val="004C3B3F"/>
    <w:rsid w:val="004D1C8D"/>
    <w:rsid w:val="004D610B"/>
    <w:rsid w:val="004D793E"/>
    <w:rsid w:val="004D7AFF"/>
    <w:rsid w:val="004D7CEB"/>
    <w:rsid w:val="004F1B9A"/>
    <w:rsid w:val="00517CBB"/>
    <w:rsid w:val="00522C51"/>
    <w:rsid w:val="00525FFA"/>
    <w:rsid w:val="00542768"/>
    <w:rsid w:val="005505DE"/>
    <w:rsid w:val="00557768"/>
    <w:rsid w:val="00561CF9"/>
    <w:rsid w:val="00564CB7"/>
    <w:rsid w:val="00567EF2"/>
    <w:rsid w:val="00584F49"/>
    <w:rsid w:val="005926B5"/>
    <w:rsid w:val="00596902"/>
    <w:rsid w:val="005A6F78"/>
    <w:rsid w:val="005C3811"/>
    <w:rsid w:val="005F3AC6"/>
    <w:rsid w:val="005F7C41"/>
    <w:rsid w:val="006002C2"/>
    <w:rsid w:val="0061338F"/>
    <w:rsid w:val="00632F24"/>
    <w:rsid w:val="00637C13"/>
    <w:rsid w:val="006449D2"/>
    <w:rsid w:val="006451F8"/>
    <w:rsid w:val="00656DF3"/>
    <w:rsid w:val="006707B5"/>
    <w:rsid w:val="00674A54"/>
    <w:rsid w:val="006E2116"/>
    <w:rsid w:val="006F0D62"/>
    <w:rsid w:val="006F6F69"/>
    <w:rsid w:val="00706C5A"/>
    <w:rsid w:val="00722EED"/>
    <w:rsid w:val="00735472"/>
    <w:rsid w:val="00742321"/>
    <w:rsid w:val="00760807"/>
    <w:rsid w:val="00786620"/>
    <w:rsid w:val="00790E1F"/>
    <w:rsid w:val="007C7DB8"/>
    <w:rsid w:val="007D6457"/>
    <w:rsid w:val="007E0C5F"/>
    <w:rsid w:val="007E224B"/>
    <w:rsid w:val="007E51A3"/>
    <w:rsid w:val="007E72BD"/>
    <w:rsid w:val="007F0E2C"/>
    <w:rsid w:val="007F1342"/>
    <w:rsid w:val="007F19E4"/>
    <w:rsid w:val="007F7CFE"/>
    <w:rsid w:val="00800530"/>
    <w:rsid w:val="008066C8"/>
    <w:rsid w:val="0081017D"/>
    <w:rsid w:val="008113DC"/>
    <w:rsid w:val="008326F7"/>
    <w:rsid w:val="00832F7A"/>
    <w:rsid w:val="008348A8"/>
    <w:rsid w:val="00837FDE"/>
    <w:rsid w:val="00844102"/>
    <w:rsid w:val="00876A09"/>
    <w:rsid w:val="008834E7"/>
    <w:rsid w:val="0088448B"/>
    <w:rsid w:val="00891A79"/>
    <w:rsid w:val="008B3DD2"/>
    <w:rsid w:val="008B7516"/>
    <w:rsid w:val="008C38C9"/>
    <w:rsid w:val="008C7E6F"/>
    <w:rsid w:val="008D0D20"/>
    <w:rsid w:val="008D2F97"/>
    <w:rsid w:val="008D3696"/>
    <w:rsid w:val="008D38AF"/>
    <w:rsid w:val="008E1457"/>
    <w:rsid w:val="008E2751"/>
    <w:rsid w:val="008E4076"/>
    <w:rsid w:val="0090130B"/>
    <w:rsid w:val="009021BF"/>
    <w:rsid w:val="009052B3"/>
    <w:rsid w:val="00911FA5"/>
    <w:rsid w:val="009227B5"/>
    <w:rsid w:val="00925E1F"/>
    <w:rsid w:val="00927E42"/>
    <w:rsid w:val="0093793E"/>
    <w:rsid w:val="00945945"/>
    <w:rsid w:val="00962AEB"/>
    <w:rsid w:val="009658AF"/>
    <w:rsid w:val="00971929"/>
    <w:rsid w:val="00972C4F"/>
    <w:rsid w:val="009836CC"/>
    <w:rsid w:val="009B318F"/>
    <w:rsid w:val="009C1E2D"/>
    <w:rsid w:val="009C3080"/>
    <w:rsid w:val="009C3CE8"/>
    <w:rsid w:val="009D4329"/>
    <w:rsid w:val="009D4535"/>
    <w:rsid w:val="009E357C"/>
    <w:rsid w:val="009F1062"/>
    <w:rsid w:val="009F2A38"/>
    <w:rsid w:val="009F40D7"/>
    <w:rsid w:val="00A10792"/>
    <w:rsid w:val="00A130D5"/>
    <w:rsid w:val="00A16FA1"/>
    <w:rsid w:val="00A2067C"/>
    <w:rsid w:val="00A44989"/>
    <w:rsid w:val="00A5409E"/>
    <w:rsid w:val="00A54783"/>
    <w:rsid w:val="00A64A25"/>
    <w:rsid w:val="00A7617D"/>
    <w:rsid w:val="00A81C82"/>
    <w:rsid w:val="00A94308"/>
    <w:rsid w:val="00A94B4E"/>
    <w:rsid w:val="00AB3A23"/>
    <w:rsid w:val="00AD052B"/>
    <w:rsid w:val="00B01DE8"/>
    <w:rsid w:val="00B01F54"/>
    <w:rsid w:val="00B06A71"/>
    <w:rsid w:val="00B07DA1"/>
    <w:rsid w:val="00B11CDC"/>
    <w:rsid w:val="00B2148D"/>
    <w:rsid w:val="00B22406"/>
    <w:rsid w:val="00B25E4E"/>
    <w:rsid w:val="00B27C32"/>
    <w:rsid w:val="00B34807"/>
    <w:rsid w:val="00B364C7"/>
    <w:rsid w:val="00B417F7"/>
    <w:rsid w:val="00B548A0"/>
    <w:rsid w:val="00B728DA"/>
    <w:rsid w:val="00B776F2"/>
    <w:rsid w:val="00B77A69"/>
    <w:rsid w:val="00B918C8"/>
    <w:rsid w:val="00B93CA6"/>
    <w:rsid w:val="00BA1BF7"/>
    <w:rsid w:val="00BB2201"/>
    <w:rsid w:val="00BC02FE"/>
    <w:rsid w:val="00BC229E"/>
    <w:rsid w:val="00BC5E3E"/>
    <w:rsid w:val="00BC626D"/>
    <w:rsid w:val="00BD2E51"/>
    <w:rsid w:val="00BE1359"/>
    <w:rsid w:val="00C02C2E"/>
    <w:rsid w:val="00C030A1"/>
    <w:rsid w:val="00C07741"/>
    <w:rsid w:val="00C167C4"/>
    <w:rsid w:val="00C252B4"/>
    <w:rsid w:val="00C364C3"/>
    <w:rsid w:val="00C645F5"/>
    <w:rsid w:val="00C6535A"/>
    <w:rsid w:val="00C814F7"/>
    <w:rsid w:val="00C855DE"/>
    <w:rsid w:val="00C860A3"/>
    <w:rsid w:val="00C933FD"/>
    <w:rsid w:val="00C962EC"/>
    <w:rsid w:val="00CA396E"/>
    <w:rsid w:val="00CA5135"/>
    <w:rsid w:val="00CA5BB7"/>
    <w:rsid w:val="00CA6DD7"/>
    <w:rsid w:val="00CD767A"/>
    <w:rsid w:val="00CE41C2"/>
    <w:rsid w:val="00CF252D"/>
    <w:rsid w:val="00CF602C"/>
    <w:rsid w:val="00CF6795"/>
    <w:rsid w:val="00D10D8E"/>
    <w:rsid w:val="00D13383"/>
    <w:rsid w:val="00D1348C"/>
    <w:rsid w:val="00D16183"/>
    <w:rsid w:val="00D20F27"/>
    <w:rsid w:val="00D27007"/>
    <w:rsid w:val="00D47C1E"/>
    <w:rsid w:val="00D55D61"/>
    <w:rsid w:val="00D60C38"/>
    <w:rsid w:val="00D64C09"/>
    <w:rsid w:val="00D64F18"/>
    <w:rsid w:val="00D83359"/>
    <w:rsid w:val="00D85C1E"/>
    <w:rsid w:val="00D8765C"/>
    <w:rsid w:val="00D942EB"/>
    <w:rsid w:val="00D94F3C"/>
    <w:rsid w:val="00DA5BEB"/>
    <w:rsid w:val="00DC061F"/>
    <w:rsid w:val="00DC0DA3"/>
    <w:rsid w:val="00DC6977"/>
    <w:rsid w:val="00DC698C"/>
    <w:rsid w:val="00DC76F7"/>
    <w:rsid w:val="00E0042A"/>
    <w:rsid w:val="00E0348C"/>
    <w:rsid w:val="00E061FC"/>
    <w:rsid w:val="00E0683D"/>
    <w:rsid w:val="00E17378"/>
    <w:rsid w:val="00E24C1E"/>
    <w:rsid w:val="00E40E16"/>
    <w:rsid w:val="00E42BE7"/>
    <w:rsid w:val="00E42C69"/>
    <w:rsid w:val="00E50DA3"/>
    <w:rsid w:val="00E54EB7"/>
    <w:rsid w:val="00E57430"/>
    <w:rsid w:val="00E61D51"/>
    <w:rsid w:val="00E645B8"/>
    <w:rsid w:val="00E8293E"/>
    <w:rsid w:val="00E8327E"/>
    <w:rsid w:val="00E859DC"/>
    <w:rsid w:val="00E9094C"/>
    <w:rsid w:val="00E91E00"/>
    <w:rsid w:val="00EA7E14"/>
    <w:rsid w:val="00EB6D2F"/>
    <w:rsid w:val="00EB7070"/>
    <w:rsid w:val="00EB7642"/>
    <w:rsid w:val="00EC1257"/>
    <w:rsid w:val="00EE5BD5"/>
    <w:rsid w:val="00EE78A8"/>
    <w:rsid w:val="00EF043C"/>
    <w:rsid w:val="00EF1A73"/>
    <w:rsid w:val="00F05A85"/>
    <w:rsid w:val="00F07B57"/>
    <w:rsid w:val="00F31E2C"/>
    <w:rsid w:val="00F33CD1"/>
    <w:rsid w:val="00F43FDF"/>
    <w:rsid w:val="00F45180"/>
    <w:rsid w:val="00F630D5"/>
    <w:rsid w:val="00F81D70"/>
    <w:rsid w:val="00F84F46"/>
    <w:rsid w:val="00FA1B3F"/>
    <w:rsid w:val="00FB0012"/>
    <w:rsid w:val="00FB2109"/>
    <w:rsid w:val="00FB2913"/>
    <w:rsid w:val="00FB2D10"/>
    <w:rsid w:val="00FC0B03"/>
    <w:rsid w:val="00FC29D7"/>
    <w:rsid w:val="00FE109D"/>
    <w:rsid w:val="00FE72CA"/>
    <w:rsid w:val="00FF1218"/>
    <w:rsid w:val="014151C9"/>
    <w:rsid w:val="01C25065"/>
    <w:rsid w:val="01E70A50"/>
    <w:rsid w:val="020E3A3A"/>
    <w:rsid w:val="022E381C"/>
    <w:rsid w:val="02AB723F"/>
    <w:rsid w:val="02CC7053"/>
    <w:rsid w:val="031336BF"/>
    <w:rsid w:val="03302292"/>
    <w:rsid w:val="034509E9"/>
    <w:rsid w:val="04C16B0C"/>
    <w:rsid w:val="04F97836"/>
    <w:rsid w:val="04FB2B32"/>
    <w:rsid w:val="054161CF"/>
    <w:rsid w:val="0545373F"/>
    <w:rsid w:val="058356C2"/>
    <w:rsid w:val="05B25306"/>
    <w:rsid w:val="0687292F"/>
    <w:rsid w:val="06C22F17"/>
    <w:rsid w:val="06CA52DF"/>
    <w:rsid w:val="070471D4"/>
    <w:rsid w:val="07134FBD"/>
    <w:rsid w:val="07BB2FF8"/>
    <w:rsid w:val="082717AD"/>
    <w:rsid w:val="084A1D75"/>
    <w:rsid w:val="092C7FEB"/>
    <w:rsid w:val="09485EE7"/>
    <w:rsid w:val="09671828"/>
    <w:rsid w:val="09A710CF"/>
    <w:rsid w:val="09A94A2C"/>
    <w:rsid w:val="09BD57AE"/>
    <w:rsid w:val="0A095830"/>
    <w:rsid w:val="0A5C0BEA"/>
    <w:rsid w:val="0A6C09DE"/>
    <w:rsid w:val="0A9357F1"/>
    <w:rsid w:val="0AA7283A"/>
    <w:rsid w:val="0B165A00"/>
    <w:rsid w:val="0B4824EC"/>
    <w:rsid w:val="0B7F6455"/>
    <w:rsid w:val="0BAA7B33"/>
    <w:rsid w:val="0BB57BFF"/>
    <w:rsid w:val="0BBB51FD"/>
    <w:rsid w:val="0BC30E98"/>
    <w:rsid w:val="0BF04423"/>
    <w:rsid w:val="0C1B714C"/>
    <w:rsid w:val="0C3923C8"/>
    <w:rsid w:val="0C44630B"/>
    <w:rsid w:val="0D1F15BD"/>
    <w:rsid w:val="0D392AD2"/>
    <w:rsid w:val="0D422CBE"/>
    <w:rsid w:val="0D730EF0"/>
    <w:rsid w:val="0D887991"/>
    <w:rsid w:val="0DB47923"/>
    <w:rsid w:val="0DF345C0"/>
    <w:rsid w:val="0E2344C0"/>
    <w:rsid w:val="0E713A1F"/>
    <w:rsid w:val="0ED468AA"/>
    <w:rsid w:val="0F633BF5"/>
    <w:rsid w:val="0FDF5034"/>
    <w:rsid w:val="103D789B"/>
    <w:rsid w:val="10882B9B"/>
    <w:rsid w:val="10A1780C"/>
    <w:rsid w:val="10CA5CE4"/>
    <w:rsid w:val="115433FE"/>
    <w:rsid w:val="116322AB"/>
    <w:rsid w:val="11A2456B"/>
    <w:rsid w:val="11B61DC5"/>
    <w:rsid w:val="11CE3B39"/>
    <w:rsid w:val="11FE4FFB"/>
    <w:rsid w:val="12452DB9"/>
    <w:rsid w:val="12554EC5"/>
    <w:rsid w:val="12A046A1"/>
    <w:rsid w:val="12BC340B"/>
    <w:rsid w:val="13052649"/>
    <w:rsid w:val="131D593C"/>
    <w:rsid w:val="13774F0D"/>
    <w:rsid w:val="13785584"/>
    <w:rsid w:val="13872B5A"/>
    <w:rsid w:val="13A136D3"/>
    <w:rsid w:val="13A97E1C"/>
    <w:rsid w:val="13DB1080"/>
    <w:rsid w:val="140035D1"/>
    <w:rsid w:val="148D1503"/>
    <w:rsid w:val="15693053"/>
    <w:rsid w:val="15A42056"/>
    <w:rsid w:val="15D325ED"/>
    <w:rsid w:val="161D2412"/>
    <w:rsid w:val="1675109B"/>
    <w:rsid w:val="169849E9"/>
    <w:rsid w:val="169B34A3"/>
    <w:rsid w:val="16AE73E5"/>
    <w:rsid w:val="16E03DC1"/>
    <w:rsid w:val="1717505B"/>
    <w:rsid w:val="175D2FC9"/>
    <w:rsid w:val="17987514"/>
    <w:rsid w:val="17C63A99"/>
    <w:rsid w:val="18056757"/>
    <w:rsid w:val="181829AC"/>
    <w:rsid w:val="189F5557"/>
    <w:rsid w:val="18B26F04"/>
    <w:rsid w:val="191632E4"/>
    <w:rsid w:val="19646212"/>
    <w:rsid w:val="19845F5A"/>
    <w:rsid w:val="19AF7825"/>
    <w:rsid w:val="19B80006"/>
    <w:rsid w:val="19BD6F3E"/>
    <w:rsid w:val="1AAF59D2"/>
    <w:rsid w:val="1ACF7C7C"/>
    <w:rsid w:val="1AE206E0"/>
    <w:rsid w:val="1B3345DA"/>
    <w:rsid w:val="1B402880"/>
    <w:rsid w:val="1B9405AB"/>
    <w:rsid w:val="1BD267D4"/>
    <w:rsid w:val="1C1A3572"/>
    <w:rsid w:val="1CE46A16"/>
    <w:rsid w:val="1D0F355D"/>
    <w:rsid w:val="1D6515A5"/>
    <w:rsid w:val="1DCE28FF"/>
    <w:rsid w:val="1E37428D"/>
    <w:rsid w:val="1E796E9F"/>
    <w:rsid w:val="1E845218"/>
    <w:rsid w:val="1EB77316"/>
    <w:rsid w:val="1ECB11CD"/>
    <w:rsid w:val="204201FA"/>
    <w:rsid w:val="206034C6"/>
    <w:rsid w:val="20614C8F"/>
    <w:rsid w:val="20801510"/>
    <w:rsid w:val="20B4520A"/>
    <w:rsid w:val="20DE6ADA"/>
    <w:rsid w:val="20DF5D42"/>
    <w:rsid w:val="21116A18"/>
    <w:rsid w:val="21547EDC"/>
    <w:rsid w:val="21625C48"/>
    <w:rsid w:val="219B1C0E"/>
    <w:rsid w:val="21C41539"/>
    <w:rsid w:val="221C5B7C"/>
    <w:rsid w:val="22DE1E9E"/>
    <w:rsid w:val="23495C6F"/>
    <w:rsid w:val="23766B69"/>
    <w:rsid w:val="23922DA0"/>
    <w:rsid w:val="239E07C2"/>
    <w:rsid w:val="23AA412E"/>
    <w:rsid w:val="23C10881"/>
    <w:rsid w:val="23C22F40"/>
    <w:rsid w:val="24082BE2"/>
    <w:rsid w:val="24185EB4"/>
    <w:rsid w:val="242A63C1"/>
    <w:rsid w:val="245440D8"/>
    <w:rsid w:val="24547FB1"/>
    <w:rsid w:val="24652DAD"/>
    <w:rsid w:val="24A5564F"/>
    <w:rsid w:val="24FF4EBA"/>
    <w:rsid w:val="2569375B"/>
    <w:rsid w:val="2596250A"/>
    <w:rsid w:val="260E7767"/>
    <w:rsid w:val="2650087F"/>
    <w:rsid w:val="26BB494F"/>
    <w:rsid w:val="26CB1E4A"/>
    <w:rsid w:val="26DA300D"/>
    <w:rsid w:val="272E063A"/>
    <w:rsid w:val="27631C2A"/>
    <w:rsid w:val="27654D68"/>
    <w:rsid w:val="27AB4AA1"/>
    <w:rsid w:val="27B2080E"/>
    <w:rsid w:val="27F029FD"/>
    <w:rsid w:val="28154518"/>
    <w:rsid w:val="282713F1"/>
    <w:rsid w:val="286E77BC"/>
    <w:rsid w:val="28DD24FC"/>
    <w:rsid w:val="28E13019"/>
    <w:rsid w:val="29824C36"/>
    <w:rsid w:val="2984482A"/>
    <w:rsid w:val="2A3E7E6B"/>
    <w:rsid w:val="2A5048E3"/>
    <w:rsid w:val="2A72713E"/>
    <w:rsid w:val="2A7D47A3"/>
    <w:rsid w:val="2A8F25A1"/>
    <w:rsid w:val="2A9F7795"/>
    <w:rsid w:val="2B3F7798"/>
    <w:rsid w:val="2BD87D1B"/>
    <w:rsid w:val="2BDE0BEB"/>
    <w:rsid w:val="2C324A12"/>
    <w:rsid w:val="2C3A2C54"/>
    <w:rsid w:val="2C4330B5"/>
    <w:rsid w:val="2C7F4490"/>
    <w:rsid w:val="2CB86586"/>
    <w:rsid w:val="2D365007"/>
    <w:rsid w:val="2D951CA1"/>
    <w:rsid w:val="2D9D68FD"/>
    <w:rsid w:val="2E14769B"/>
    <w:rsid w:val="2E4325C2"/>
    <w:rsid w:val="2E6C52D4"/>
    <w:rsid w:val="2E861D13"/>
    <w:rsid w:val="2EA27501"/>
    <w:rsid w:val="2F9C1BB1"/>
    <w:rsid w:val="2F9F397F"/>
    <w:rsid w:val="2FBC3A8C"/>
    <w:rsid w:val="2FC35981"/>
    <w:rsid w:val="2FE43150"/>
    <w:rsid w:val="2FED29FE"/>
    <w:rsid w:val="2FF936C7"/>
    <w:rsid w:val="30747D78"/>
    <w:rsid w:val="309206CE"/>
    <w:rsid w:val="313A7A3C"/>
    <w:rsid w:val="31421B26"/>
    <w:rsid w:val="3156085B"/>
    <w:rsid w:val="31864E49"/>
    <w:rsid w:val="31B621E1"/>
    <w:rsid w:val="31C2056B"/>
    <w:rsid w:val="31D044C1"/>
    <w:rsid w:val="31FA4B04"/>
    <w:rsid w:val="32C4213C"/>
    <w:rsid w:val="32EC468C"/>
    <w:rsid w:val="33044C2E"/>
    <w:rsid w:val="33591696"/>
    <w:rsid w:val="339253D0"/>
    <w:rsid w:val="34207B44"/>
    <w:rsid w:val="3426600B"/>
    <w:rsid w:val="342F60E5"/>
    <w:rsid w:val="34615A8F"/>
    <w:rsid w:val="34C419C1"/>
    <w:rsid w:val="34EB6F51"/>
    <w:rsid w:val="34F125CC"/>
    <w:rsid w:val="34F417FE"/>
    <w:rsid w:val="350042A7"/>
    <w:rsid w:val="35197850"/>
    <w:rsid w:val="3523151E"/>
    <w:rsid w:val="35476C0E"/>
    <w:rsid w:val="359B0B00"/>
    <w:rsid w:val="35F1149A"/>
    <w:rsid w:val="35FE1F36"/>
    <w:rsid w:val="361110D4"/>
    <w:rsid w:val="362925B5"/>
    <w:rsid w:val="36545584"/>
    <w:rsid w:val="365B2DB7"/>
    <w:rsid w:val="36871AD9"/>
    <w:rsid w:val="37256F21"/>
    <w:rsid w:val="384C702F"/>
    <w:rsid w:val="386B118D"/>
    <w:rsid w:val="386E5F29"/>
    <w:rsid w:val="388A7468"/>
    <w:rsid w:val="397E25AF"/>
    <w:rsid w:val="398F22E5"/>
    <w:rsid w:val="39A73248"/>
    <w:rsid w:val="3A061C6A"/>
    <w:rsid w:val="3A326337"/>
    <w:rsid w:val="3A9F20F1"/>
    <w:rsid w:val="3B744119"/>
    <w:rsid w:val="3BA23BB7"/>
    <w:rsid w:val="3BC21C9A"/>
    <w:rsid w:val="3BE01558"/>
    <w:rsid w:val="3C7F6AA9"/>
    <w:rsid w:val="3C8148FA"/>
    <w:rsid w:val="3CBE19AA"/>
    <w:rsid w:val="3CE90DDD"/>
    <w:rsid w:val="3D142ED9"/>
    <w:rsid w:val="3D283487"/>
    <w:rsid w:val="3D2C5685"/>
    <w:rsid w:val="3DAF3EEB"/>
    <w:rsid w:val="3DBF171D"/>
    <w:rsid w:val="3DD06F73"/>
    <w:rsid w:val="3DF064DB"/>
    <w:rsid w:val="3EC9306B"/>
    <w:rsid w:val="3F4F17E8"/>
    <w:rsid w:val="3F754B93"/>
    <w:rsid w:val="3FB64528"/>
    <w:rsid w:val="403F453E"/>
    <w:rsid w:val="4056268A"/>
    <w:rsid w:val="408B6047"/>
    <w:rsid w:val="40A9648B"/>
    <w:rsid w:val="40BF19DC"/>
    <w:rsid w:val="4111115A"/>
    <w:rsid w:val="415C5852"/>
    <w:rsid w:val="417511EB"/>
    <w:rsid w:val="41EA021D"/>
    <w:rsid w:val="4214482E"/>
    <w:rsid w:val="42A646B1"/>
    <w:rsid w:val="42ED123B"/>
    <w:rsid w:val="431B7ADA"/>
    <w:rsid w:val="43412A59"/>
    <w:rsid w:val="4372293B"/>
    <w:rsid w:val="43A75666"/>
    <w:rsid w:val="442C4678"/>
    <w:rsid w:val="44705C55"/>
    <w:rsid w:val="44B95024"/>
    <w:rsid w:val="44D932FA"/>
    <w:rsid w:val="44F837E9"/>
    <w:rsid w:val="452B0315"/>
    <w:rsid w:val="4536002D"/>
    <w:rsid w:val="45764A95"/>
    <w:rsid w:val="45F54BD2"/>
    <w:rsid w:val="463127D7"/>
    <w:rsid w:val="463461DA"/>
    <w:rsid w:val="46695012"/>
    <w:rsid w:val="46745E3E"/>
    <w:rsid w:val="467E23F6"/>
    <w:rsid w:val="46821961"/>
    <w:rsid w:val="469B032E"/>
    <w:rsid w:val="46B67B95"/>
    <w:rsid w:val="47013507"/>
    <w:rsid w:val="471B194A"/>
    <w:rsid w:val="47486B16"/>
    <w:rsid w:val="479462AB"/>
    <w:rsid w:val="481330B6"/>
    <w:rsid w:val="482374AD"/>
    <w:rsid w:val="484A65D0"/>
    <w:rsid w:val="49074989"/>
    <w:rsid w:val="49140D70"/>
    <w:rsid w:val="49B65A5A"/>
    <w:rsid w:val="49F17C31"/>
    <w:rsid w:val="49F50887"/>
    <w:rsid w:val="49FE7BA8"/>
    <w:rsid w:val="4A05407D"/>
    <w:rsid w:val="4A45602A"/>
    <w:rsid w:val="4A4A6F73"/>
    <w:rsid w:val="4AAE3223"/>
    <w:rsid w:val="4AF7211D"/>
    <w:rsid w:val="4B523F11"/>
    <w:rsid w:val="4B730D76"/>
    <w:rsid w:val="4BAB00DF"/>
    <w:rsid w:val="4C7B3E8E"/>
    <w:rsid w:val="4C8A6623"/>
    <w:rsid w:val="4CF26863"/>
    <w:rsid w:val="4CF27948"/>
    <w:rsid w:val="4CF91E07"/>
    <w:rsid w:val="4D0548E9"/>
    <w:rsid w:val="4D197F5A"/>
    <w:rsid w:val="4D1B0752"/>
    <w:rsid w:val="4D3A01C9"/>
    <w:rsid w:val="4DC661D9"/>
    <w:rsid w:val="4E0D453F"/>
    <w:rsid w:val="4E236A22"/>
    <w:rsid w:val="4E402D29"/>
    <w:rsid w:val="4EC46F44"/>
    <w:rsid w:val="4EFA05AD"/>
    <w:rsid w:val="4F073540"/>
    <w:rsid w:val="4F0B4069"/>
    <w:rsid w:val="4F582245"/>
    <w:rsid w:val="4F8902CC"/>
    <w:rsid w:val="4F9D7037"/>
    <w:rsid w:val="4FF0236A"/>
    <w:rsid w:val="50056AF0"/>
    <w:rsid w:val="502055B6"/>
    <w:rsid w:val="50552D2A"/>
    <w:rsid w:val="508A00C9"/>
    <w:rsid w:val="50916D6A"/>
    <w:rsid w:val="50C90371"/>
    <w:rsid w:val="50DC2DD4"/>
    <w:rsid w:val="50E412FD"/>
    <w:rsid w:val="516B65CF"/>
    <w:rsid w:val="520407E4"/>
    <w:rsid w:val="522A2288"/>
    <w:rsid w:val="5262596C"/>
    <w:rsid w:val="52AD4269"/>
    <w:rsid w:val="532A22BA"/>
    <w:rsid w:val="53844AC3"/>
    <w:rsid w:val="540C224A"/>
    <w:rsid w:val="541128AF"/>
    <w:rsid w:val="54AA57FA"/>
    <w:rsid w:val="5558280D"/>
    <w:rsid w:val="55826391"/>
    <w:rsid w:val="55C261B1"/>
    <w:rsid w:val="55DD5F22"/>
    <w:rsid w:val="565C7E9B"/>
    <w:rsid w:val="566A51EA"/>
    <w:rsid w:val="56777513"/>
    <w:rsid w:val="56C64ACA"/>
    <w:rsid w:val="57113A7A"/>
    <w:rsid w:val="571C040D"/>
    <w:rsid w:val="57A37320"/>
    <w:rsid w:val="57AF73D9"/>
    <w:rsid w:val="57D64354"/>
    <w:rsid w:val="5816029C"/>
    <w:rsid w:val="585D6DE7"/>
    <w:rsid w:val="58D550F7"/>
    <w:rsid w:val="58DD6F46"/>
    <w:rsid w:val="590E4BCA"/>
    <w:rsid w:val="591D1031"/>
    <w:rsid w:val="595E302C"/>
    <w:rsid w:val="598342A1"/>
    <w:rsid w:val="59DD0333"/>
    <w:rsid w:val="59FA131A"/>
    <w:rsid w:val="5A0D1DD9"/>
    <w:rsid w:val="5A174ACC"/>
    <w:rsid w:val="5A5023D0"/>
    <w:rsid w:val="5ABC6AFA"/>
    <w:rsid w:val="5B107A0B"/>
    <w:rsid w:val="5CD66444"/>
    <w:rsid w:val="5CD7401D"/>
    <w:rsid w:val="5CD85219"/>
    <w:rsid w:val="5CE62B2B"/>
    <w:rsid w:val="5D5F11D5"/>
    <w:rsid w:val="5D71009B"/>
    <w:rsid w:val="5DBA56F6"/>
    <w:rsid w:val="5E214411"/>
    <w:rsid w:val="5E4F30CC"/>
    <w:rsid w:val="5E785D0C"/>
    <w:rsid w:val="5EDC61BE"/>
    <w:rsid w:val="5EEC0DE7"/>
    <w:rsid w:val="5F1F2324"/>
    <w:rsid w:val="5F261328"/>
    <w:rsid w:val="5F381BD1"/>
    <w:rsid w:val="5F4F074A"/>
    <w:rsid w:val="5F992D92"/>
    <w:rsid w:val="5FA3672A"/>
    <w:rsid w:val="5FB44EBD"/>
    <w:rsid w:val="5FEE4CA1"/>
    <w:rsid w:val="600C1B1E"/>
    <w:rsid w:val="600D409A"/>
    <w:rsid w:val="601D4C4A"/>
    <w:rsid w:val="602C13B6"/>
    <w:rsid w:val="60AE0F9A"/>
    <w:rsid w:val="60BA7CF9"/>
    <w:rsid w:val="60EA0710"/>
    <w:rsid w:val="61AB27B0"/>
    <w:rsid w:val="61F435CB"/>
    <w:rsid w:val="62047FC6"/>
    <w:rsid w:val="621675E3"/>
    <w:rsid w:val="6237331B"/>
    <w:rsid w:val="623E0D13"/>
    <w:rsid w:val="62E02B37"/>
    <w:rsid w:val="63561A5B"/>
    <w:rsid w:val="63885326"/>
    <w:rsid w:val="64200C85"/>
    <w:rsid w:val="644771EC"/>
    <w:rsid w:val="644F6F44"/>
    <w:rsid w:val="64622B92"/>
    <w:rsid w:val="64B52A01"/>
    <w:rsid w:val="64C231E3"/>
    <w:rsid w:val="65097090"/>
    <w:rsid w:val="654900FB"/>
    <w:rsid w:val="65566A8B"/>
    <w:rsid w:val="65750EF0"/>
    <w:rsid w:val="65900E48"/>
    <w:rsid w:val="65D57D45"/>
    <w:rsid w:val="65EC4A82"/>
    <w:rsid w:val="66052F95"/>
    <w:rsid w:val="661270A6"/>
    <w:rsid w:val="668968D8"/>
    <w:rsid w:val="66985F18"/>
    <w:rsid w:val="670A416A"/>
    <w:rsid w:val="675C633E"/>
    <w:rsid w:val="67642E49"/>
    <w:rsid w:val="678B49FB"/>
    <w:rsid w:val="67DF43E4"/>
    <w:rsid w:val="68130BBE"/>
    <w:rsid w:val="6843121A"/>
    <w:rsid w:val="68475EFF"/>
    <w:rsid w:val="684C79F1"/>
    <w:rsid w:val="684D1727"/>
    <w:rsid w:val="68577EAC"/>
    <w:rsid w:val="685F41D5"/>
    <w:rsid w:val="686C4707"/>
    <w:rsid w:val="68A308C7"/>
    <w:rsid w:val="68AF6DE2"/>
    <w:rsid w:val="68FD2C6E"/>
    <w:rsid w:val="690D182B"/>
    <w:rsid w:val="69306946"/>
    <w:rsid w:val="696C017C"/>
    <w:rsid w:val="697C59AC"/>
    <w:rsid w:val="69862A24"/>
    <w:rsid w:val="69C14A98"/>
    <w:rsid w:val="69C7433C"/>
    <w:rsid w:val="69FB1993"/>
    <w:rsid w:val="6A000668"/>
    <w:rsid w:val="6AC046A6"/>
    <w:rsid w:val="6AC81424"/>
    <w:rsid w:val="6B0930A7"/>
    <w:rsid w:val="6B1C22D4"/>
    <w:rsid w:val="6B404A7A"/>
    <w:rsid w:val="6B6334EB"/>
    <w:rsid w:val="6B6B2F83"/>
    <w:rsid w:val="6B8F438D"/>
    <w:rsid w:val="6BD74A03"/>
    <w:rsid w:val="6C0E3A72"/>
    <w:rsid w:val="6C166350"/>
    <w:rsid w:val="6C613F7C"/>
    <w:rsid w:val="6C974C19"/>
    <w:rsid w:val="6CD87A85"/>
    <w:rsid w:val="6CF5399F"/>
    <w:rsid w:val="6D363D7C"/>
    <w:rsid w:val="6DBE69B1"/>
    <w:rsid w:val="6DC24EEE"/>
    <w:rsid w:val="6DD3695F"/>
    <w:rsid w:val="6DDE1FD6"/>
    <w:rsid w:val="6E2B27E8"/>
    <w:rsid w:val="6E3B4422"/>
    <w:rsid w:val="6E4F53A4"/>
    <w:rsid w:val="6E6709D3"/>
    <w:rsid w:val="6F043F20"/>
    <w:rsid w:val="6F1F1125"/>
    <w:rsid w:val="6F517E35"/>
    <w:rsid w:val="6FA348AB"/>
    <w:rsid w:val="6FBA30AA"/>
    <w:rsid w:val="6FC41151"/>
    <w:rsid w:val="70471D2A"/>
    <w:rsid w:val="70C02D9E"/>
    <w:rsid w:val="70C95831"/>
    <w:rsid w:val="70D61808"/>
    <w:rsid w:val="70E52262"/>
    <w:rsid w:val="71623425"/>
    <w:rsid w:val="717C1A7B"/>
    <w:rsid w:val="719D3B70"/>
    <w:rsid w:val="72226679"/>
    <w:rsid w:val="72255BFE"/>
    <w:rsid w:val="72344B63"/>
    <w:rsid w:val="72353F5A"/>
    <w:rsid w:val="727047CE"/>
    <w:rsid w:val="727D06FF"/>
    <w:rsid w:val="727D5983"/>
    <w:rsid w:val="72CA12DE"/>
    <w:rsid w:val="72CC2B46"/>
    <w:rsid w:val="72E76145"/>
    <w:rsid w:val="72E96A79"/>
    <w:rsid w:val="731E4B33"/>
    <w:rsid w:val="732866BC"/>
    <w:rsid w:val="738A5CC3"/>
    <w:rsid w:val="739075DF"/>
    <w:rsid w:val="73A24774"/>
    <w:rsid w:val="73AA6208"/>
    <w:rsid w:val="741160B5"/>
    <w:rsid w:val="74252527"/>
    <w:rsid w:val="742747B9"/>
    <w:rsid w:val="743B0C2D"/>
    <w:rsid w:val="744867E4"/>
    <w:rsid w:val="74511DE5"/>
    <w:rsid w:val="749D0C8C"/>
    <w:rsid w:val="74F31EFB"/>
    <w:rsid w:val="75C5557C"/>
    <w:rsid w:val="75DF0303"/>
    <w:rsid w:val="75F8483E"/>
    <w:rsid w:val="761D624D"/>
    <w:rsid w:val="768A3EA4"/>
    <w:rsid w:val="768A788B"/>
    <w:rsid w:val="76BB4047"/>
    <w:rsid w:val="76C24B41"/>
    <w:rsid w:val="76E37890"/>
    <w:rsid w:val="76E72243"/>
    <w:rsid w:val="771F7C09"/>
    <w:rsid w:val="77377050"/>
    <w:rsid w:val="7767065B"/>
    <w:rsid w:val="77A418D4"/>
    <w:rsid w:val="77AC1FF4"/>
    <w:rsid w:val="77AC52C9"/>
    <w:rsid w:val="77DC695E"/>
    <w:rsid w:val="77E45A61"/>
    <w:rsid w:val="783F5668"/>
    <w:rsid w:val="784D1858"/>
    <w:rsid w:val="7868448F"/>
    <w:rsid w:val="78DA008C"/>
    <w:rsid w:val="78E957C1"/>
    <w:rsid w:val="791B61D2"/>
    <w:rsid w:val="79265827"/>
    <w:rsid w:val="7927188A"/>
    <w:rsid w:val="79D833A4"/>
    <w:rsid w:val="79FB3AAD"/>
    <w:rsid w:val="7A3048E7"/>
    <w:rsid w:val="7A472FEF"/>
    <w:rsid w:val="7A474B7B"/>
    <w:rsid w:val="7A5D2A3B"/>
    <w:rsid w:val="7A707A80"/>
    <w:rsid w:val="7A771937"/>
    <w:rsid w:val="7AEF2679"/>
    <w:rsid w:val="7B2745E3"/>
    <w:rsid w:val="7B611E8E"/>
    <w:rsid w:val="7BAE6AB2"/>
    <w:rsid w:val="7BB374C4"/>
    <w:rsid w:val="7BCE3761"/>
    <w:rsid w:val="7BFA2DD0"/>
    <w:rsid w:val="7C596A1E"/>
    <w:rsid w:val="7CBB1076"/>
    <w:rsid w:val="7D060831"/>
    <w:rsid w:val="7D0F0344"/>
    <w:rsid w:val="7DB11747"/>
    <w:rsid w:val="7DE77E1A"/>
    <w:rsid w:val="7DF81496"/>
    <w:rsid w:val="7E832AF4"/>
    <w:rsid w:val="7F042FFC"/>
    <w:rsid w:val="7F4409DB"/>
    <w:rsid w:val="7F72681E"/>
    <w:rsid w:val="7F7E5BA3"/>
    <w:rsid w:val="7FB53877"/>
    <w:rsid w:val="7FFD1DB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numPr>
        <w:ilvl w:val="0"/>
        <w:numId w:val="1"/>
      </w:numPr>
      <w:spacing w:line="216" w:lineRule="auto"/>
      <w:outlineLvl w:val="0"/>
    </w:pPr>
    <w:rPr>
      <w:rFonts w:ascii="宋体" w:eastAsia="宋体"/>
      <w:sz w:val="28"/>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Cs w:val="32"/>
    </w:rPr>
  </w:style>
  <w:style w:type="paragraph" w:styleId="4">
    <w:name w:val="heading 3"/>
    <w:basedOn w:val="1"/>
    <w:next w:val="1"/>
    <w:qFormat/>
    <w:uiPriority w:val="0"/>
    <w:pPr>
      <w:keepNext/>
      <w:numPr>
        <w:ilvl w:val="0"/>
        <w:numId w:val="2"/>
      </w:numPr>
      <w:spacing w:line="216" w:lineRule="auto"/>
      <w:outlineLvl w:val="2"/>
    </w:pPr>
    <w:rPr>
      <w:rFonts w:ascii="宋体" w:eastAsia="宋体"/>
      <w:b/>
      <w:sz w:val="28"/>
    </w:rPr>
  </w:style>
  <w:style w:type="paragraph" w:styleId="5">
    <w:name w:val="heading 4"/>
    <w:basedOn w:val="1"/>
    <w:next w:val="1"/>
    <w:qFormat/>
    <w:uiPriority w:val="0"/>
    <w:pPr>
      <w:keepNext/>
      <w:keepLines/>
      <w:spacing w:before="280" w:after="290" w:line="374" w:lineRule="auto"/>
      <w:outlineLvl w:val="3"/>
    </w:pPr>
    <w:rPr>
      <w:rFonts w:ascii="Arial" w:hAnsi="Arial" w:eastAsia="黑体"/>
      <w:b/>
      <w:bCs/>
      <w:szCs w:val="28"/>
    </w:rPr>
  </w:style>
  <w:style w:type="paragraph" w:styleId="6">
    <w:name w:val="heading 5"/>
    <w:basedOn w:val="1"/>
    <w:next w:val="1"/>
    <w:qFormat/>
    <w:uiPriority w:val="0"/>
    <w:pPr>
      <w:keepNext/>
      <w:keepLines/>
      <w:numPr>
        <w:ilvl w:val="4"/>
        <w:numId w:val="3"/>
      </w:numPr>
      <w:adjustRightInd w:val="0"/>
      <w:snapToGrid w:val="0"/>
      <w:spacing w:before="280" w:after="290" w:line="372" w:lineRule="auto"/>
      <w:outlineLvl w:val="4"/>
    </w:pPr>
    <w:rPr>
      <w:rFonts w:ascii="宋体" w:hAnsi="宋体" w:eastAsia="宋体"/>
      <w:b/>
      <w:bCs/>
      <w:kern w:val="0"/>
      <w:sz w:val="24"/>
      <w:szCs w:val="28"/>
    </w:rPr>
  </w:style>
  <w:style w:type="character" w:default="1" w:styleId="26">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rFonts w:ascii="Times New Roman" w:hAnsi="Times New Roman"/>
    </w:rPr>
  </w:style>
  <w:style w:type="paragraph" w:styleId="8">
    <w:name w:val="Document Map"/>
    <w:basedOn w:val="1"/>
    <w:qFormat/>
    <w:uiPriority w:val="0"/>
    <w:pPr>
      <w:shd w:val="clear" w:color="auto" w:fill="000080"/>
    </w:pPr>
  </w:style>
  <w:style w:type="paragraph" w:styleId="9">
    <w:name w:val="annotation text"/>
    <w:basedOn w:val="1"/>
    <w:qFormat/>
    <w:uiPriority w:val="0"/>
    <w:pPr>
      <w:jc w:val="left"/>
    </w:pPr>
    <w:rPr>
      <w:rFonts w:eastAsia="宋体"/>
      <w:sz w:val="21"/>
    </w:rPr>
  </w:style>
  <w:style w:type="paragraph" w:styleId="10">
    <w:name w:val="Body Text"/>
    <w:basedOn w:val="1"/>
    <w:qFormat/>
    <w:uiPriority w:val="0"/>
    <w:pPr>
      <w:spacing w:line="540" w:lineRule="exact"/>
    </w:pPr>
    <w:rPr>
      <w:rFonts w:ascii="仿宋_GB2312"/>
      <w:sz w:val="28"/>
    </w:rPr>
  </w:style>
  <w:style w:type="paragraph" w:styleId="11">
    <w:name w:val="Body Text Indent"/>
    <w:basedOn w:val="1"/>
    <w:next w:val="1"/>
    <w:qFormat/>
    <w:uiPriority w:val="0"/>
    <w:pPr>
      <w:ind w:firstLine="615"/>
    </w:pPr>
    <w:rPr>
      <w:u w:val="single"/>
    </w:rPr>
  </w:style>
  <w:style w:type="paragraph" w:styleId="12">
    <w:name w:val="Block Text"/>
    <w:basedOn w:val="1"/>
    <w:next w:val="5"/>
    <w:qFormat/>
    <w:uiPriority w:val="99"/>
    <w:pPr>
      <w:tabs>
        <w:tab w:val="left" w:pos="9000"/>
      </w:tabs>
      <w:spacing w:after="120"/>
      <w:ind w:left="1440" w:leftChars="700" w:right="1440" w:rightChars="700"/>
    </w:pPr>
  </w:style>
  <w:style w:type="paragraph" w:styleId="13">
    <w:name w:val="Plain Text"/>
    <w:basedOn w:val="1"/>
    <w:link w:val="31"/>
    <w:qFormat/>
    <w:uiPriority w:val="0"/>
    <w:rPr>
      <w:rFonts w:ascii="宋体" w:hAnsi="Courier New" w:eastAsia="宋体"/>
      <w:sz w:val="21"/>
      <w:szCs w:val="21"/>
    </w:rPr>
  </w:style>
  <w:style w:type="paragraph" w:styleId="14">
    <w:name w:val="Date"/>
    <w:basedOn w:val="1"/>
    <w:next w:val="1"/>
    <w:qFormat/>
    <w:uiPriority w:val="0"/>
    <w:pPr>
      <w:ind w:left="100" w:leftChars="2500"/>
    </w:pPr>
    <w:rPr>
      <w:sz w:val="28"/>
    </w:rPr>
  </w:style>
  <w:style w:type="paragraph" w:styleId="15">
    <w:name w:val="Body Text Indent 2"/>
    <w:basedOn w:val="1"/>
    <w:qFormat/>
    <w:uiPriority w:val="0"/>
    <w:pPr>
      <w:ind w:firstLine="632" w:firstLineChars="200"/>
    </w:pPr>
    <w:rPr>
      <w:u w:val="single"/>
    </w:rPr>
  </w:style>
  <w:style w:type="paragraph" w:styleId="16">
    <w:name w:val="Balloon Text"/>
    <w:basedOn w:val="1"/>
    <w:qFormat/>
    <w:uiPriority w:val="0"/>
    <w:rPr>
      <w:sz w:val="18"/>
      <w:szCs w:val="18"/>
    </w:rPr>
  </w:style>
  <w:style w:type="paragraph" w:styleId="17">
    <w:name w:val="footer"/>
    <w:basedOn w:val="1"/>
    <w:link w:val="32"/>
    <w:qFormat/>
    <w:uiPriority w:val="99"/>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Body Text Indent 3"/>
    <w:basedOn w:val="1"/>
    <w:qFormat/>
    <w:uiPriority w:val="0"/>
    <w:pPr>
      <w:tabs>
        <w:tab w:val="left" w:pos="632"/>
      </w:tabs>
      <w:spacing w:line="323" w:lineRule="atLeast"/>
      <w:ind w:firstLine="476"/>
    </w:pPr>
    <w:rPr>
      <w:sz w:val="28"/>
    </w:rPr>
  </w:style>
  <w:style w:type="paragraph" w:styleId="2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szCs w:val="24"/>
    </w:rPr>
  </w:style>
  <w:style w:type="paragraph" w:styleId="2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2">
    <w:name w:val="Body Text First Indent"/>
    <w:basedOn w:val="1"/>
    <w:qFormat/>
    <w:uiPriority w:val="0"/>
    <w:pPr>
      <w:ind w:firstLine="420" w:firstLineChars="100"/>
    </w:pPr>
    <w:rPr>
      <w:rFonts w:ascii="Times New Roman"/>
      <w:sz w:val="21"/>
      <w:szCs w:val="24"/>
    </w:rPr>
  </w:style>
  <w:style w:type="paragraph" w:styleId="23">
    <w:name w:val="Body Text First Indent 2"/>
    <w:basedOn w:val="11"/>
    <w:unhideWhenUsed/>
    <w:qFormat/>
    <w:uiPriority w:val="99"/>
    <w:pPr>
      <w:ind w:firstLine="420" w:firstLineChars="200"/>
    </w:pPr>
  </w:style>
  <w:style w:type="table" w:styleId="25">
    <w:name w:val="Table Grid"/>
    <w:basedOn w:val="2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page number"/>
    <w:qFormat/>
    <w:uiPriority w:val="0"/>
    <w:rPr>
      <w:rFonts w:ascii="Times New Roman" w:hAnsi="Times New Roman" w:cs="Times New Roman"/>
    </w:rPr>
  </w:style>
  <w:style w:type="character" w:styleId="28">
    <w:name w:val="FollowedHyperlink"/>
    <w:basedOn w:val="26"/>
    <w:unhideWhenUsed/>
    <w:qFormat/>
    <w:uiPriority w:val="99"/>
    <w:rPr>
      <w:color w:val="333333"/>
      <w:u w:val="none"/>
    </w:rPr>
  </w:style>
  <w:style w:type="character" w:styleId="29">
    <w:name w:val="Hyperlink"/>
    <w:basedOn w:val="26"/>
    <w:qFormat/>
    <w:uiPriority w:val="99"/>
    <w:rPr>
      <w:color w:val="333333"/>
      <w:u w:val="none"/>
    </w:rPr>
  </w:style>
  <w:style w:type="character" w:styleId="30">
    <w:name w:val="annotation reference"/>
    <w:qFormat/>
    <w:uiPriority w:val="0"/>
    <w:rPr>
      <w:sz w:val="21"/>
    </w:rPr>
  </w:style>
  <w:style w:type="character" w:customStyle="1" w:styleId="31">
    <w:name w:val="纯文本 字符"/>
    <w:link w:val="13"/>
    <w:qFormat/>
    <w:uiPriority w:val="0"/>
    <w:rPr>
      <w:rFonts w:ascii="宋体" w:hAnsi="Courier New" w:eastAsia="宋体"/>
      <w:kern w:val="2"/>
      <w:sz w:val="21"/>
      <w:szCs w:val="21"/>
      <w:lang w:val="en-US" w:eastAsia="zh-CN" w:bidi="ar-SA"/>
    </w:rPr>
  </w:style>
  <w:style w:type="character" w:customStyle="1" w:styleId="32">
    <w:name w:val="页脚 字符"/>
    <w:link w:val="17"/>
    <w:qFormat/>
    <w:uiPriority w:val="99"/>
    <w:rPr>
      <w:rFonts w:eastAsia="仿宋_GB2312"/>
      <w:kern w:val="2"/>
      <w:sz w:val="18"/>
      <w:szCs w:val="18"/>
    </w:rPr>
  </w:style>
  <w:style w:type="character" w:customStyle="1" w:styleId="33">
    <w:name w:val="+正文 Char4"/>
    <w:link w:val="34"/>
    <w:qFormat/>
    <w:uiPriority w:val="0"/>
    <w:rPr>
      <w:rFonts w:eastAsia="宋体"/>
      <w:kern w:val="2"/>
      <w:sz w:val="24"/>
      <w:szCs w:val="28"/>
      <w:lang w:val="en-US" w:eastAsia="zh-CN" w:bidi="ar-SA"/>
    </w:rPr>
  </w:style>
  <w:style w:type="paragraph" w:customStyle="1" w:styleId="34">
    <w:name w:val="+正文"/>
    <w:basedOn w:val="1"/>
    <w:link w:val="33"/>
    <w:qFormat/>
    <w:uiPriority w:val="0"/>
    <w:pPr>
      <w:spacing w:line="360" w:lineRule="auto"/>
      <w:ind w:firstLine="200" w:firstLineChars="200"/>
    </w:pPr>
    <w:rPr>
      <w:rFonts w:eastAsia="宋体"/>
      <w:sz w:val="24"/>
      <w:szCs w:val="28"/>
    </w:rPr>
  </w:style>
  <w:style w:type="character" w:customStyle="1" w:styleId="35">
    <w:name w:val="Char Char Char Char Char"/>
    <w:qFormat/>
    <w:uiPriority w:val="0"/>
    <w:rPr>
      <w:rFonts w:ascii="宋体" w:hAnsi="Courier New" w:eastAsia="宋体"/>
      <w:kern w:val="2"/>
      <w:sz w:val="21"/>
      <w:szCs w:val="21"/>
      <w:lang w:val="en-US" w:eastAsia="zh-CN" w:bidi="ar-SA"/>
    </w:rPr>
  </w:style>
  <w:style w:type="character" w:customStyle="1" w:styleId="36">
    <w:name w:val="fc01294d3e-4153-482a-aea1-4b54892b7913-0"/>
    <w:qFormat/>
    <w:uiPriority w:val="0"/>
    <w:rPr>
      <w:rFonts w:ascii="Tahoma" w:hAnsi="Tahoma"/>
      <w:sz w:val="24"/>
      <w:szCs w:val="20"/>
    </w:rPr>
  </w:style>
  <w:style w:type="character" w:customStyle="1" w:styleId="37">
    <w:name w:val="fc01294d3e-4153-482a-aea1-4b54892b7913-1"/>
    <w:basedOn w:val="26"/>
    <w:qFormat/>
    <w:uiPriority w:val="0"/>
  </w:style>
  <w:style w:type="character" w:customStyle="1" w:styleId="38">
    <w:name w:val="普通文字 Char Char1"/>
    <w:qFormat/>
    <w:uiPriority w:val="0"/>
    <w:rPr>
      <w:rFonts w:ascii="宋体" w:hAnsi="Courier New"/>
      <w:kern w:val="2"/>
      <w:sz w:val="21"/>
    </w:rPr>
  </w:style>
  <w:style w:type="paragraph" w:customStyle="1" w:styleId="39">
    <w:name w:val="xl70"/>
    <w:basedOn w:val="1"/>
    <w:qFormat/>
    <w:uiPriority w:val="0"/>
    <w:pPr>
      <w:widowControl/>
      <w:pBdr>
        <w:top w:val="single" w:color="auto" w:sz="4" w:space="0"/>
        <w:left w:val="single" w:color="auto" w:sz="4" w:space="17"/>
        <w:bottom w:val="single" w:color="auto" w:sz="4" w:space="0"/>
        <w:right w:val="single" w:color="auto" w:sz="4" w:space="0"/>
      </w:pBdr>
      <w:spacing w:before="100" w:beforeAutospacing="1" w:after="100" w:afterAutospacing="1"/>
      <w:ind w:firstLine="100" w:firstLineChars="100"/>
    </w:pPr>
    <w:rPr>
      <w:rFonts w:ascii="宋体" w:hAnsi="宋体" w:eastAsia="宋体" w:cs="宋体"/>
      <w:kern w:val="0"/>
      <w:sz w:val="20"/>
    </w:rPr>
  </w:style>
  <w:style w:type="paragraph" w:customStyle="1" w:styleId="40">
    <w:name w:val="默认段落字体 Para Char Char Char Char Char Char Char"/>
    <w:basedOn w:val="1"/>
    <w:qFormat/>
    <w:uiPriority w:val="0"/>
    <w:rPr>
      <w:rFonts w:ascii="Tahoma" w:hAnsi="Tahoma" w:eastAsia="宋体"/>
      <w:sz w:val="24"/>
    </w:rPr>
  </w:style>
  <w:style w:type="paragraph" w:customStyle="1" w:styleId="41">
    <w:name w:val="font13"/>
    <w:basedOn w:val="1"/>
    <w:qFormat/>
    <w:uiPriority w:val="0"/>
    <w:pPr>
      <w:widowControl/>
      <w:spacing w:before="100" w:beforeAutospacing="1" w:after="100" w:afterAutospacing="1"/>
      <w:jc w:val="left"/>
    </w:pPr>
    <w:rPr>
      <w:rFonts w:ascii="Calibri" w:hAnsi="Calibri" w:eastAsia="宋体" w:cs="宋体"/>
      <w:color w:val="000000"/>
      <w:kern w:val="0"/>
      <w:sz w:val="20"/>
    </w:rPr>
  </w:style>
  <w:style w:type="paragraph" w:customStyle="1" w:styleId="42">
    <w:name w:val="xl92"/>
    <w:basedOn w:val="1"/>
    <w:qFormat/>
    <w:uiPriority w:val="0"/>
    <w:pPr>
      <w:widowControl/>
      <w:pBdr>
        <w:left w:val="single" w:color="auto" w:sz="4" w:space="0"/>
      </w:pBdr>
      <w:spacing w:before="100" w:beforeAutospacing="1" w:after="100" w:afterAutospacing="1"/>
      <w:jc w:val="center"/>
    </w:pPr>
    <w:rPr>
      <w:rFonts w:ascii="宋体" w:hAnsi="宋体" w:eastAsia="宋体" w:cs="宋体"/>
      <w:kern w:val="0"/>
      <w:sz w:val="20"/>
    </w:rPr>
  </w:style>
  <w:style w:type="paragraph" w:customStyle="1" w:styleId="4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宋体"/>
      <w:kern w:val="0"/>
      <w:sz w:val="20"/>
    </w:rPr>
  </w:style>
  <w:style w:type="paragraph" w:customStyle="1" w:styleId="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45">
    <w:name w:val="Char Char Char1 Char Char Char Char"/>
    <w:basedOn w:val="1"/>
    <w:qFormat/>
    <w:uiPriority w:val="0"/>
  </w:style>
  <w:style w:type="paragraph" w:customStyle="1" w:styleId="46">
    <w:name w:val="样式1"/>
    <w:basedOn w:val="2"/>
    <w:qFormat/>
    <w:uiPriority w:val="0"/>
    <w:pPr>
      <w:keepLines/>
      <w:numPr>
        <w:ilvl w:val="0"/>
        <w:numId w:val="0"/>
      </w:numPr>
      <w:spacing w:before="340" w:after="330" w:line="578" w:lineRule="auto"/>
      <w:jc w:val="center"/>
    </w:pPr>
    <w:rPr>
      <w:rFonts w:ascii="Calibri" w:hAnsi="Calibri" w:eastAsia="黑体"/>
      <w:b/>
      <w:bCs/>
      <w:kern w:val="44"/>
      <w:sz w:val="44"/>
      <w:szCs w:val="44"/>
    </w:rPr>
  </w:style>
  <w:style w:type="paragraph" w:customStyle="1" w:styleId="47">
    <w:name w:val="xl93"/>
    <w:basedOn w:val="1"/>
    <w:qFormat/>
    <w:uiPriority w:val="0"/>
    <w:pPr>
      <w:widowControl/>
      <w:pBdr>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48">
    <w:name w:val="Char Char Char1 Char"/>
    <w:basedOn w:val="1"/>
    <w:qFormat/>
    <w:uiPriority w:val="0"/>
    <w:rPr>
      <w:rFonts w:ascii="Tahoma" w:hAnsi="Tahoma" w:eastAsia="宋体"/>
      <w:sz w:val="24"/>
    </w:rPr>
  </w:style>
  <w:style w:type="paragraph" w:customStyle="1" w:styleId="49">
    <w:name w:val="Char"/>
    <w:basedOn w:val="1"/>
    <w:qFormat/>
    <w:uiPriority w:val="0"/>
    <w:pPr>
      <w:widowControl/>
      <w:spacing w:after="160" w:line="240" w:lineRule="exact"/>
      <w:jc w:val="left"/>
    </w:pPr>
    <w:rPr>
      <w:rFonts w:ascii="Verdana" w:hAnsi="Verdana" w:eastAsia="宋体"/>
      <w:kern w:val="0"/>
      <w:sz w:val="20"/>
      <w:lang w:eastAsia="en-US"/>
    </w:rPr>
  </w:style>
  <w:style w:type="paragraph" w:customStyle="1" w:styleId="50">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51">
    <w:name w:val="xl8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52">
    <w:name w:val="font12"/>
    <w:basedOn w:val="1"/>
    <w:qFormat/>
    <w:uiPriority w:val="0"/>
    <w:pPr>
      <w:widowControl/>
      <w:spacing w:before="100" w:beforeAutospacing="1" w:after="100" w:afterAutospacing="1"/>
      <w:jc w:val="left"/>
    </w:pPr>
    <w:rPr>
      <w:rFonts w:ascii="Arial" w:hAnsi="Arial" w:eastAsia="宋体" w:cs="Arial"/>
      <w:color w:val="000000"/>
      <w:kern w:val="0"/>
      <w:sz w:val="20"/>
    </w:rPr>
  </w:style>
  <w:style w:type="paragraph" w:customStyle="1" w:styleId="53">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54">
    <w:name w:val="Char Char Char"/>
    <w:basedOn w:val="1"/>
    <w:qFormat/>
    <w:uiPriority w:val="0"/>
    <w:rPr>
      <w:rFonts w:ascii="Tahoma" w:hAnsi="Tahoma" w:eastAsia="宋体"/>
      <w:sz w:val="24"/>
    </w:rPr>
  </w:style>
  <w:style w:type="paragraph" w:customStyle="1" w:styleId="55">
    <w:name w:val="List Paragraph1"/>
    <w:basedOn w:val="1"/>
    <w:qFormat/>
    <w:uiPriority w:val="0"/>
    <w:pPr>
      <w:ind w:firstLine="420" w:firstLineChars="200"/>
    </w:pPr>
  </w:style>
  <w:style w:type="paragraph" w:customStyle="1" w:styleId="56">
    <w:name w:val="xl94"/>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eastAsia="宋体" w:cs="宋体"/>
      <w:kern w:val="0"/>
      <w:sz w:val="20"/>
    </w:rPr>
  </w:style>
  <w:style w:type="paragraph" w:customStyle="1" w:styleId="57">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58">
    <w:name w:val="_Style 7"/>
    <w:basedOn w:val="2"/>
    <w:next w:val="1"/>
    <w:qFormat/>
    <w:uiPriority w:val="0"/>
    <w:pPr>
      <w:outlineLvl w:val="9"/>
    </w:pPr>
    <w:rPr>
      <w:rFonts w:eastAsia="宋体"/>
    </w:rPr>
  </w:style>
  <w:style w:type="paragraph" w:customStyle="1" w:styleId="5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rPr>
  </w:style>
  <w:style w:type="paragraph" w:customStyle="1" w:styleId="60">
    <w:name w:val="p0"/>
    <w:basedOn w:val="1"/>
    <w:qFormat/>
    <w:uiPriority w:val="0"/>
    <w:pPr>
      <w:widowControl/>
    </w:pPr>
    <w:rPr>
      <w:rFonts w:eastAsia="宋体"/>
      <w:kern w:val="0"/>
      <w:szCs w:val="32"/>
    </w:rPr>
  </w:style>
  <w:style w:type="paragraph" w:customStyle="1" w:styleId="61">
    <w:name w:val="font8"/>
    <w:basedOn w:val="1"/>
    <w:qFormat/>
    <w:uiPriority w:val="0"/>
    <w:pPr>
      <w:widowControl/>
      <w:spacing w:before="100" w:beforeAutospacing="1" w:after="100" w:afterAutospacing="1"/>
      <w:jc w:val="left"/>
    </w:pPr>
    <w:rPr>
      <w:rFonts w:ascii="宋体" w:hAnsi="宋体" w:eastAsia="宋体" w:cs="宋体"/>
      <w:b/>
      <w:bCs/>
      <w:color w:val="000000"/>
      <w:kern w:val="0"/>
      <w:sz w:val="20"/>
    </w:rPr>
  </w:style>
  <w:style w:type="paragraph" w:customStyle="1" w:styleId="6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63">
    <w:name w:val="xl9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64">
    <w:name w:val="WangHui"/>
    <w:basedOn w:val="1"/>
    <w:qFormat/>
    <w:uiPriority w:val="0"/>
    <w:rPr>
      <w:rFonts w:ascii="仿宋_GB2312"/>
      <w:sz w:val="28"/>
    </w:rPr>
  </w:style>
  <w:style w:type="paragraph" w:customStyle="1" w:styleId="65">
    <w:name w:val="xl8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6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eastAsia="宋体" w:cs="宋体"/>
      <w:color w:val="000000"/>
      <w:kern w:val="0"/>
      <w:sz w:val="20"/>
    </w:rPr>
  </w:style>
  <w:style w:type="paragraph" w:customStyle="1" w:styleId="67">
    <w:name w:val="Char Char Char Char"/>
    <w:basedOn w:val="1"/>
    <w:qFormat/>
    <w:uiPriority w:val="0"/>
    <w:pPr>
      <w:widowControl/>
      <w:spacing w:after="160" w:line="240" w:lineRule="exact"/>
      <w:jc w:val="left"/>
    </w:pPr>
    <w:rPr>
      <w:rFonts w:eastAsia="宋体"/>
      <w:sz w:val="21"/>
      <w:szCs w:val="24"/>
    </w:rPr>
  </w:style>
  <w:style w:type="paragraph" w:customStyle="1" w:styleId="68">
    <w:name w:val="font10"/>
    <w:basedOn w:val="1"/>
    <w:qFormat/>
    <w:uiPriority w:val="0"/>
    <w:pPr>
      <w:widowControl/>
      <w:spacing w:before="100" w:beforeAutospacing="1" w:after="100" w:afterAutospacing="1"/>
      <w:jc w:val="left"/>
    </w:pPr>
    <w:rPr>
      <w:rFonts w:ascii="宋体" w:hAnsi="宋体" w:eastAsia="宋体" w:cs="宋体"/>
      <w:color w:val="000000"/>
      <w:kern w:val="0"/>
      <w:sz w:val="20"/>
    </w:rPr>
  </w:style>
  <w:style w:type="paragraph" w:customStyle="1" w:styleId="69">
    <w:name w:val="font14"/>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7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71">
    <w:name w:val="_Style 2"/>
    <w:basedOn w:val="1"/>
    <w:qFormat/>
    <w:uiPriority w:val="99"/>
    <w:pPr>
      <w:ind w:firstLine="420" w:firstLineChars="200"/>
    </w:pPr>
  </w:style>
  <w:style w:type="paragraph" w:customStyle="1" w:styleId="72">
    <w:name w:val="xl9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73">
    <w:name w:val="Char Char Char Char Char Char Char Char Char Char2 Char Char Char Char Char Char Char"/>
    <w:basedOn w:val="1"/>
    <w:qFormat/>
    <w:uiPriority w:val="0"/>
    <w:pPr>
      <w:keepNext/>
      <w:widowControl/>
      <w:tabs>
        <w:tab w:val="left" w:pos="425"/>
      </w:tabs>
      <w:autoSpaceDE w:val="0"/>
      <w:autoSpaceDN w:val="0"/>
      <w:adjustRightInd w:val="0"/>
      <w:spacing w:before="80" w:after="80"/>
      <w:ind w:hanging="425"/>
    </w:pPr>
  </w:style>
  <w:style w:type="paragraph" w:customStyle="1" w:styleId="74">
    <w:name w:val="Char Char Char1 Char Char Char"/>
    <w:basedOn w:val="1"/>
    <w:qFormat/>
    <w:uiPriority w:val="0"/>
    <w:rPr>
      <w:rFonts w:ascii="Tahoma" w:hAnsi="Tahoma" w:eastAsia="宋体"/>
      <w:sz w:val="24"/>
    </w:rPr>
  </w:style>
  <w:style w:type="paragraph" w:customStyle="1" w:styleId="75">
    <w:name w:val="Char Char Char1 Char Char Char Char Char Char Char Char Char Char Char Char Char Char Char Char Char Char Char"/>
    <w:basedOn w:val="1"/>
    <w:qFormat/>
    <w:uiPriority w:val="0"/>
    <w:rPr>
      <w:rFonts w:ascii="Tahoma" w:hAnsi="Tahoma" w:eastAsia="宋体"/>
      <w:sz w:val="24"/>
    </w:rPr>
  </w:style>
  <w:style w:type="paragraph" w:customStyle="1" w:styleId="76">
    <w:name w:val="xl78"/>
    <w:basedOn w:val="1"/>
    <w:qFormat/>
    <w:uiPriority w:val="0"/>
    <w:pPr>
      <w:widowControl/>
      <w:spacing w:before="100" w:beforeAutospacing="1" w:after="100" w:afterAutospacing="1"/>
      <w:jc w:val="left"/>
    </w:pPr>
    <w:rPr>
      <w:rFonts w:ascii="宋体" w:hAnsi="宋体" w:eastAsia="宋体" w:cs="宋体"/>
      <w:kern w:val="0"/>
      <w:sz w:val="20"/>
    </w:rPr>
  </w:style>
  <w:style w:type="paragraph" w:customStyle="1" w:styleId="77">
    <w:name w:val="font7"/>
    <w:basedOn w:val="1"/>
    <w:qFormat/>
    <w:uiPriority w:val="0"/>
    <w:pPr>
      <w:widowControl/>
      <w:spacing w:before="100" w:beforeAutospacing="1" w:after="100" w:afterAutospacing="1"/>
      <w:jc w:val="left"/>
    </w:pPr>
    <w:rPr>
      <w:rFonts w:eastAsia="宋体"/>
      <w:color w:val="000000"/>
      <w:kern w:val="0"/>
      <w:sz w:val="20"/>
    </w:rPr>
  </w:style>
  <w:style w:type="paragraph" w:customStyle="1" w:styleId="78">
    <w:name w:val="xl84"/>
    <w:basedOn w:val="1"/>
    <w:qFormat/>
    <w:uiPriority w:val="0"/>
    <w:pPr>
      <w:widowControl/>
      <w:spacing w:before="100" w:beforeAutospacing="1" w:after="100" w:afterAutospacing="1"/>
      <w:jc w:val="center"/>
    </w:pPr>
    <w:rPr>
      <w:rFonts w:ascii="宋体" w:hAnsi="宋体" w:eastAsia="宋体" w:cs="宋体"/>
      <w:b/>
      <w:bCs/>
      <w:kern w:val="0"/>
      <w:sz w:val="40"/>
      <w:szCs w:val="40"/>
    </w:rPr>
  </w:style>
  <w:style w:type="paragraph" w:styleId="7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font5"/>
    <w:basedOn w:val="1"/>
    <w:qFormat/>
    <w:uiPriority w:val="0"/>
    <w:pPr>
      <w:widowControl/>
      <w:spacing w:before="100" w:beforeAutospacing="1" w:after="100" w:afterAutospacing="1"/>
      <w:jc w:val="left"/>
    </w:pPr>
    <w:rPr>
      <w:rFonts w:ascii="宋体" w:hAnsi="宋体" w:eastAsia="宋体" w:cs="宋体"/>
      <w:color w:val="000000"/>
      <w:kern w:val="0"/>
      <w:sz w:val="20"/>
    </w:rPr>
  </w:style>
  <w:style w:type="paragraph" w:customStyle="1" w:styleId="81">
    <w:name w:val="xl72"/>
    <w:basedOn w:val="1"/>
    <w:qFormat/>
    <w:uiPriority w:val="0"/>
    <w:pPr>
      <w:widowControl/>
      <w:pBdr>
        <w:top w:val="single" w:color="auto" w:sz="4" w:space="0"/>
        <w:left w:val="single" w:color="auto" w:sz="4" w:space="17"/>
        <w:bottom w:val="single" w:color="auto" w:sz="4" w:space="0"/>
        <w:right w:val="single" w:color="auto" w:sz="4" w:space="0"/>
      </w:pBdr>
      <w:spacing w:before="100" w:beforeAutospacing="1" w:after="100" w:afterAutospacing="1"/>
      <w:ind w:firstLine="100" w:firstLineChars="100"/>
    </w:pPr>
    <w:rPr>
      <w:rFonts w:ascii="宋体" w:hAnsi="宋体" w:eastAsia="宋体" w:cs="宋体"/>
      <w:kern w:val="0"/>
      <w:sz w:val="20"/>
    </w:rPr>
  </w:style>
  <w:style w:type="paragraph" w:customStyle="1" w:styleId="82">
    <w:name w:val="Char Char Char Char Char Char Char Char Char"/>
    <w:basedOn w:val="1"/>
    <w:qFormat/>
    <w:uiPriority w:val="0"/>
    <w:pPr>
      <w:spacing w:line="360" w:lineRule="auto"/>
      <w:ind w:firstLine="200" w:firstLineChars="200"/>
    </w:pPr>
    <w:rPr>
      <w:rFonts w:ascii="宋体" w:hAnsi="宋体" w:eastAsia="宋体" w:cs="宋体"/>
      <w:sz w:val="24"/>
      <w:szCs w:val="24"/>
    </w:rPr>
  </w:style>
  <w:style w:type="paragraph" w:customStyle="1" w:styleId="8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sz w:val="20"/>
    </w:rPr>
  </w:style>
  <w:style w:type="paragraph" w:customStyle="1" w:styleId="84">
    <w:name w:val="xl76"/>
    <w:basedOn w:val="1"/>
    <w:qFormat/>
    <w:uiPriority w:val="0"/>
    <w:pPr>
      <w:widowControl/>
      <w:spacing w:before="100" w:beforeAutospacing="1" w:after="100" w:afterAutospacing="1"/>
      <w:jc w:val="left"/>
    </w:pPr>
    <w:rPr>
      <w:rFonts w:ascii="宋体" w:hAnsi="宋体" w:eastAsia="宋体" w:cs="宋体"/>
      <w:color w:val="000000"/>
      <w:kern w:val="0"/>
      <w:sz w:val="20"/>
    </w:rPr>
  </w:style>
  <w:style w:type="paragraph" w:customStyle="1" w:styleId="8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86">
    <w:name w:val="Char Char Char1 Char Char Char Char Char Char Char"/>
    <w:basedOn w:val="1"/>
    <w:qFormat/>
    <w:uiPriority w:val="0"/>
    <w:rPr>
      <w:rFonts w:ascii="Tahoma" w:hAnsi="Tahoma" w:eastAsia="宋体"/>
      <w:sz w:val="24"/>
    </w:rPr>
  </w:style>
  <w:style w:type="paragraph" w:customStyle="1" w:styleId="8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rPr>
  </w:style>
  <w:style w:type="paragraph" w:customStyle="1" w:styleId="88">
    <w:name w:val="font11"/>
    <w:basedOn w:val="1"/>
    <w:qFormat/>
    <w:uiPriority w:val="0"/>
    <w:pPr>
      <w:widowControl/>
      <w:spacing w:before="100" w:beforeAutospacing="1" w:after="100" w:afterAutospacing="1"/>
      <w:jc w:val="left"/>
    </w:pPr>
    <w:rPr>
      <w:rFonts w:ascii="宋体" w:hAnsi="宋体" w:eastAsia="宋体" w:cs="宋体"/>
      <w:color w:val="000000"/>
      <w:kern w:val="0"/>
      <w:sz w:val="20"/>
    </w:rPr>
  </w:style>
  <w:style w:type="paragraph" w:customStyle="1" w:styleId="89">
    <w:name w:val="xl91"/>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90">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1">
    <w:name w:val="xl90"/>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eastAsia="宋体" w:cs="宋体"/>
      <w:kern w:val="0"/>
      <w:sz w:val="20"/>
    </w:rPr>
  </w:style>
  <w:style w:type="paragraph" w:customStyle="1" w:styleId="92">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9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94">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rFonts w:ascii="宋体" w:hAnsi="宋体" w:eastAsia="宋体" w:cs="宋体"/>
      <w:color w:val="000000"/>
      <w:kern w:val="0"/>
      <w:sz w:val="20"/>
    </w:rPr>
  </w:style>
  <w:style w:type="paragraph" w:customStyle="1" w:styleId="95">
    <w:name w:val="font6"/>
    <w:basedOn w:val="1"/>
    <w:qFormat/>
    <w:uiPriority w:val="0"/>
    <w:pPr>
      <w:widowControl/>
      <w:spacing w:before="100" w:beforeAutospacing="1" w:after="100" w:afterAutospacing="1"/>
      <w:jc w:val="left"/>
    </w:pPr>
    <w:rPr>
      <w:rFonts w:ascii="宋体" w:hAnsi="宋体" w:eastAsia="宋体" w:cs="宋体"/>
      <w:color w:val="000000"/>
      <w:kern w:val="0"/>
      <w:sz w:val="20"/>
    </w:rPr>
  </w:style>
  <w:style w:type="paragraph" w:customStyle="1" w:styleId="96">
    <w:name w:val="xl9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97">
    <w:name w:val="font9"/>
    <w:basedOn w:val="1"/>
    <w:qFormat/>
    <w:uiPriority w:val="0"/>
    <w:pPr>
      <w:widowControl/>
      <w:spacing w:before="100" w:beforeAutospacing="1" w:after="100" w:afterAutospacing="1"/>
      <w:jc w:val="left"/>
    </w:pPr>
    <w:rPr>
      <w:rFonts w:ascii="宋体" w:hAnsi="宋体" w:eastAsia="宋体" w:cs="宋体"/>
      <w:b/>
      <w:bCs/>
      <w:color w:val="000000"/>
      <w:kern w:val="0"/>
      <w:sz w:val="20"/>
    </w:rPr>
  </w:style>
  <w:style w:type="paragraph" w:customStyle="1" w:styleId="98">
    <w:name w:val="xl9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99">
    <w:name w:val="xl73"/>
    <w:basedOn w:val="1"/>
    <w:qFormat/>
    <w:uiPriority w:val="0"/>
    <w:pPr>
      <w:widowControl/>
      <w:pBdr>
        <w:top w:val="single" w:color="auto" w:sz="4" w:space="0"/>
        <w:left w:val="single" w:color="auto" w:sz="4" w:space="31"/>
        <w:bottom w:val="single" w:color="auto" w:sz="4" w:space="0"/>
        <w:right w:val="single" w:color="auto" w:sz="4" w:space="0"/>
      </w:pBdr>
      <w:spacing w:before="100" w:beforeAutospacing="1" w:after="100" w:afterAutospacing="1"/>
      <w:ind w:firstLine="200" w:firstLineChars="200"/>
    </w:pPr>
    <w:rPr>
      <w:rFonts w:ascii="宋体" w:hAnsi="宋体" w:eastAsia="宋体" w:cs="宋体"/>
      <w:kern w:val="0"/>
      <w:sz w:val="20"/>
    </w:rPr>
  </w:style>
  <w:style w:type="paragraph" w:customStyle="1" w:styleId="100">
    <w:name w:val="xl8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101">
    <w:name w:val="xl99"/>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eastAsia="宋体" w:cs="宋体"/>
      <w:kern w:val="0"/>
      <w:sz w:val="20"/>
    </w:rPr>
  </w:style>
  <w:style w:type="paragraph" w:customStyle="1" w:styleId="1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rPr>
  </w:style>
  <w:style w:type="paragraph" w:customStyle="1" w:styleId="103">
    <w:name w:val="xl8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rPr>
  </w:style>
  <w:style w:type="paragraph" w:customStyle="1" w:styleId="104">
    <w:name w:val="xl66"/>
    <w:basedOn w:val="1"/>
    <w:qFormat/>
    <w:uiPriority w:val="0"/>
    <w:pPr>
      <w:widowControl/>
      <w:spacing w:before="100" w:beforeAutospacing="1" w:after="100" w:afterAutospacing="1"/>
      <w:jc w:val="left"/>
    </w:pPr>
    <w:rPr>
      <w:rFonts w:ascii="宋体" w:hAnsi="宋体" w:eastAsia="宋体" w:cs="宋体"/>
      <w:color w:val="000000"/>
      <w:kern w:val="0"/>
      <w:sz w:val="20"/>
    </w:rPr>
  </w:style>
  <w:style w:type="paragraph" w:styleId="105">
    <w:name w:val="List Paragraph"/>
    <w:basedOn w:val="1"/>
    <w:qFormat/>
    <w:uiPriority w:val="0"/>
    <w:pPr>
      <w:ind w:firstLine="420" w:firstLineChars="200"/>
    </w:pPr>
    <w:rPr>
      <w:rFonts w:ascii="Calibri" w:hAnsi="Calibri" w:eastAsia="宋体"/>
      <w:sz w:val="21"/>
      <w:szCs w:val="22"/>
    </w:rPr>
  </w:style>
  <w:style w:type="character" w:customStyle="1" w:styleId="106">
    <w:name w:val="pubdate-month"/>
    <w:basedOn w:val="26"/>
    <w:qFormat/>
    <w:uiPriority w:val="0"/>
    <w:rPr>
      <w:color w:val="FFFFFF"/>
      <w:sz w:val="24"/>
      <w:szCs w:val="24"/>
      <w:shd w:val="clear" w:color="auto" w:fill="CC0000"/>
    </w:rPr>
  </w:style>
  <w:style w:type="character" w:customStyle="1" w:styleId="107">
    <w:name w:val="data_m"/>
    <w:basedOn w:val="26"/>
    <w:qFormat/>
    <w:uiPriority w:val="0"/>
    <w:rPr>
      <w:bdr w:val="single" w:color="1B5DAB" w:sz="6" w:space="0"/>
    </w:rPr>
  </w:style>
  <w:style w:type="character" w:customStyle="1" w:styleId="108">
    <w:name w:val="pubdate-day"/>
    <w:basedOn w:val="26"/>
    <w:qFormat/>
    <w:uiPriority w:val="0"/>
    <w:rPr>
      <w:shd w:val="clear" w:color="auto" w:fill="F2F2F2"/>
    </w:rPr>
  </w:style>
  <w:style w:type="character" w:customStyle="1" w:styleId="109">
    <w:name w:val="news_date_d"/>
    <w:basedOn w:val="26"/>
    <w:qFormat/>
    <w:uiPriority w:val="0"/>
    <w:rPr>
      <w:color w:val="666666"/>
      <w:sz w:val="21"/>
      <w:szCs w:val="21"/>
    </w:rPr>
  </w:style>
  <w:style w:type="character" w:customStyle="1" w:styleId="110">
    <w:name w:val="item-name"/>
    <w:basedOn w:val="26"/>
    <w:qFormat/>
    <w:uiPriority w:val="0"/>
  </w:style>
  <w:style w:type="character" w:customStyle="1" w:styleId="111">
    <w:name w:val="item-name1"/>
    <w:basedOn w:val="26"/>
    <w:qFormat/>
    <w:uiPriority w:val="0"/>
  </w:style>
  <w:style w:type="paragraph" w:customStyle="1" w:styleId="112">
    <w:name w:val="正文首行缩进 21"/>
    <w:basedOn w:val="113"/>
    <w:unhideWhenUsed/>
    <w:qFormat/>
    <w:uiPriority w:val="99"/>
    <w:pPr>
      <w:ind w:firstLine="420" w:firstLineChars="200"/>
    </w:pPr>
  </w:style>
  <w:style w:type="paragraph" w:customStyle="1" w:styleId="113">
    <w:name w:val="正文文本缩进_0"/>
    <w:basedOn w:val="90"/>
    <w:qFormat/>
    <w:uiPriority w:val="0"/>
    <w:pPr>
      <w:spacing w:line="360" w:lineRule="auto"/>
      <w:ind w:firstLine="435"/>
    </w:pPr>
    <w:rPr>
      <w:sz w:val="24"/>
    </w:rPr>
  </w:style>
  <w:style w:type="character" w:customStyle="1" w:styleId="114">
    <w:name w:val="qq_login_logo"/>
    <w:basedOn w:val="26"/>
    <w:qFormat/>
    <w:uiPriority w:val="0"/>
  </w:style>
  <w:style w:type="character" w:customStyle="1" w:styleId="115">
    <w:name w:val="hover1"/>
    <w:basedOn w:val="26"/>
    <w:qFormat/>
    <w:uiPriority w:val="0"/>
    <w:rPr>
      <w:color w:val="FFFFFF"/>
    </w:rPr>
  </w:style>
  <w:style w:type="character" w:customStyle="1" w:styleId="116">
    <w:name w:val="hover"/>
    <w:basedOn w:val="26"/>
    <w:qFormat/>
    <w:uiPriority w:val="0"/>
    <w:rPr>
      <w:color w:val="FFFFFF"/>
    </w:rPr>
  </w:style>
  <w:style w:type="paragraph" w:customStyle="1" w:styleId="117">
    <w:name w:val="标书正文"/>
    <w:basedOn w:val="1"/>
    <w:qFormat/>
    <w:uiPriority w:val="0"/>
    <w:pPr>
      <w:spacing w:line="360" w:lineRule="auto"/>
      <w:ind w:firstLine="480"/>
    </w:pPr>
    <w:rPr>
      <w:rFonts w:ascii="宋体" w:hAnsi="宋体"/>
      <w:sz w:val="24"/>
      <w:szCs w:val="28"/>
    </w:rPr>
  </w:style>
  <w:style w:type="paragraph" w:customStyle="1" w:styleId="118">
    <w:name w:val="List Paragraph2"/>
    <w:basedOn w:val="1"/>
    <w:qFormat/>
    <w:uiPriority w:val="0"/>
    <w:pPr>
      <w:ind w:firstLine="420"/>
    </w:pPr>
    <w:rPr>
      <w:rFonts w:ascii="Calibri" w:hAnsi="Calibri" w:cs="Calibri"/>
      <w:kern w:val="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zbk</Company>
  <Pages>26</Pages>
  <Words>7459</Words>
  <Characters>7923</Characters>
  <Lines>200</Lines>
  <Paragraphs>56</Paragraphs>
  <TotalTime>2</TotalTime>
  <ScaleCrop>false</ScaleCrop>
  <LinksUpToDate>false</LinksUpToDate>
  <CharactersWithSpaces>8099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2019-08-14T02:07:00Z</dcterms:created>
  <dc:creator>user</dc:creator>
  <cp:lastModifiedBy>couch potato</cp:lastModifiedBy>
  <cp:lastPrinted>2025-12-31T03:16:37Z</cp:lastPrinted>
  <dcterms:modified xsi:type="dcterms:W3CDTF">2025-12-31T07:07:47Z</dcterms:modified>
  <dc:title>第一重投标须知</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C5CDF33CD8F545BE9523C86B2257396C_13</vt:lpwstr>
  </property>
  <property fmtid="{D5CDD505-2E9C-101B-9397-08002B2CF9AE}" pid="4" name="KSOTemplateDocerSaveRecord">
    <vt:lpwstr>eyJoZGlkIjoiNDU4YTRmNTQ4NWIzOWI4ZDUxNGU2MWViOTM2ODE2ODMiLCJ1c2VySWQiOiIxMTA1NTkxNzUzIn0=</vt:lpwstr>
  </property>
</Properties>
</file>